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E8A" w:rsidRPr="0091748D" w:rsidRDefault="00915E8A" w:rsidP="00F51C52">
      <w:pPr>
        <w:widowControl/>
        <w:jc w:val="right"/>
        <w:rPr>
          <w:sz w:val="22"/>
          <w:szCs w:val="22"/>
        </w:rPr>
      </w:pPr>
      <w:r>
        <w:rPr>
          <w:sz w:val="22"/>
        </w:rPr>
        <w:t>Expediente del Tribunal No. 08-CL-7878</w:t>
      </w:r>
    </w:p>
    <w:p w:rsidR="00915E8A" w:rsidRPr="0091748D" w:rsidRDefault="00915E8A" w:rsidP="00F51C52">
      <w:pPr>
        <w:widowControl/>
        <w:rPr>
          <w:sz w:val="22"/>
          <w:szCs w:val="22"/>
        </w:rPr>
      </w:pPr>
    </w:p>
    <w:p w:rsidR="00915E8A" w:rsidRPr="00A930E4" w:rsidRDefault="00915E8A" w:rsidP="00F51C52">
      <w:pPr>
        <w:widowControl/>
        <w:jc w:val="center"/>
        <w:rPr>
          <w:b/>
          <w:sz w:val="22"/>
          <w:szCs w:val="22"/>
        </w:rPr>
      </w:pPr>
      <w:r w:rsidRPr="00A930E4">
        <w:rPr>
          <w:b/>
          <w:sz w:val="22"/>
          <w:szCs w:val="22"/>
        </w:rPr>
        <w:t>ONTARIO</w:t>
      </w:r>
    </w:p>
    <w:p w:rsidR="00915E8A" w:rsidRPr="00A930E4" w:rsidRDefault="00915E8A" w:rsidP="00F51C52">
      <w:pPr>
        <w:widowControl/>
        <w:jc w:val="center"/>
        <w:rPr>
          <w:b/>
          <w:sz w:val="22"/>
          <w:szCs w:val="22"/>
        </w:rPr>
      </w:pPr>
      <w:r w:rsidRPr="00A930E4">
        <w:rPr>
          <w:b/>
          <w:i/>
          <w:sz w:val="22"/>
          <w:szCs w:val="22"/>
        </w:rPr>
        <w:t xml:space="preserve">SUPERIOR COURT OF JUSTICE </w:t>
      </w:r>
      <w:r w:rsidRPr="00A930E4">
        <w:rPr>
          <w:b/>
          <w:sz w:val="22"/>
          <w:szCs w:val="22"/>
        </w:rPr>
        <w:t>[TRIBUNAL SUPERIOR DE JUSTICIA]</w:t>
      </w:r>
    </w:p>
    <w:p w:rsidR="00915E8A" w:rsidRPr="00A930E4" w:rsidRDefault="00915E8A" w:rsidP="00F51C52">
      <w:pPr>
        <w:widowControl/>
        <w:jc w:val="center"/>
        <w:rPr>
          <w:b/>
          <w:sz w:val="22"/>
          <w:szCs w:val="22"/>
        </w:rPr>
      </w:pPr>
      <w:r w:rsidRPr="00A930E4">
        <w:rPr>
          <w:b/>
          <w:i/>
          <w:sz w:val="22"/>
          <w:szCs w:val="22"/>
        </w:rPr>
        <w:t>COMMERCIAL LIST</w:t>
      </w:r>
      <w:r w:rsidRPr="00A930E4">
        <w:rPr>
          <w:b/>
          <w:sz w:val="22"/>
          <w:szCs w:val="22"/>
        </w:rPr>
        <w:t xml:space="preserve"> [LISTA COMERCIAL]</w:t>
      </w:r>
    </w:p>
    <w:p w:rsidR="00915E8A" w:rsidRPr="00A930E4" w:rsidRDefault="00915E8A" w:rsidP="00F51C52">
      <w:pPr>
        <w:widowControl/>
        <w:jc w:val="center"/>
        <w:rPr>
          <w:b/>
          <w:sz w:val="22"/>
          <w:szCs w:val="22"/>
        </w:rPr>
      </w:pPr>
    </w:p>
    <w:p w:rsidR="00915E8A" w:rsidRPr="00A930E4" w:rsidRDefault="00915E8A" w:rsidP="00F51C52">
      <w:pPr>
        <w:widowControl/>
        <w:jc w:val="center"/>
        <w:rPr>
          <w:b/>
          <w:sz w:val="22"/>
          <w:szCs w:val="22"/>
        </w:rPr>
      </w:pPr>
      <w:r w:rsidRPr="00A930E4">
        <w:rPr>
          <w:b/>
          <w:sz w:val="22"/>
          <w:szCs w:val="22"/>
        </w:rPr>
        <w:t xml:space="preserve">EN EL ASUNTO DE LA </w:t>
      </w:r>
      <w:r w:rsidRPr="00A930E4">
        <w:rPr>
          <w:b/>
          <w:i/>
          <w:sz w:val="22"/>
          <w:szCs w:val="22"/>
        </w:rPr>
        <w:t xml:space="preserve">COMPANIES’ CREDITORS ARRANGEMENT ACT </w:t>
      </w:r>
      <w:r w:rsidR="008D7DDC" w:rsidRPr="00A930E4">
        <w:rPr>
          <w:b/>
          <w:i/>
          <w:sz w:val="22"/>
          <w:szCs w:val="22"/>
        </w:rPr>
        <w:br/>
      </w:r>
      <w:r w:rsidRPr="00A930E4">
        <w:rPr>
          <w:sz w:val="22"/>
          <w:szCs w:val="22"/>
        </w:rPr>
        <w:t>[LEY SOBRE LOS ACUERDOS CON LOS ACREEDORES DE COMPAÑÍAS],</w:t>
      </w:r>
      <w:r w:rsidRPr="00A930E4">
        <w:rPr>
          <w:b/>
          <w:sz w:val="22"/>
          <w:szCs w:val="22"/>
        </w:rPr>
        <w:t xml:space="preserve"> </w:t>
      </w:r>
      <w:r w:rsidR="008D7DDC" w:rsidRPr="00A930E4">
        <w:rPr>
          <w:b/>
          <w:sz w:val="22"/>
          <w:szCs w:val="22"/>
        </w:rPr>
        <w:br/>
      </w:r>
      <w:r w:rsidRPr="00A930E4">
        <w:rPr>
          <w:b/>
          <w:sz w:val="22"/>
          <w:szCs w:val="22"/>
        </w:rPr>
        <w:t>LEYES MODIFICADAS DE CANADÁ</w:t>
      </w:r>
      <w:r w:rsidR="00585C61" w:rsidRPr="00A930E4">
        <w:rPr>
          <w:b/>
          <w:sz w:val="22"/>
          <w:szCs w:val="22"/>
        </w:rPr>
        <w:t xml:space="preserve"> </w:t>
      </w:r>
      <w:r w:rsidRPr="00A930E4">
        <w:rPr>
          <w:b/>
          <w:sz w:val="22"/>
          <w:szCs w:val="22"/>
        </w:rPr>
        <w:t>1985, CAP. C-36, TAL COMO ENMENDADA</w:t>
      </w:r>
    </w:p>
    <w:p w:rsidR="00915E8A" w:rsidRPr="00A930E4" w:rsidRDefault="00915E8A" w:rsidP="00F51C52">
      <w:pPr>
        <w:widowControl/>
        <w:jc w:val="center"/>
        <w:rPr>
          <w:b/>
          <w:sz w:val="22"/>
          <w:szCs w:val="22"/>
        </w:rPr>
      </w:pPr>
    </w:p>
    <w:p w:rsidR="00915E8A" w:rsidRPr="00A930E4" w:rsidRDefault="00915E8A" w:rsidP="00F51C52">
      <w:pPr>
        <w:widowControl/>
        <w:jc w:val="center"/>
        <w:rPr>
          <w:b/>
          <w:sz w:val="22"/>
          <w:szCs w:val="22"/>
        </w:rPr>
      </w:pPr>
      <w:r w:rsidRPr="00A930E4">
        <w:rPr>
          <w:b/>
          <w:sz w:val="22"/>
          <w:szCs w:val="22"/>
        </w:rPr>
        <w:t>Y EN EL ASUNTO DE UN PLAN DE CONCORDATO DE</w:t>
      </w:r>
      <w:r w:rsidRPr="00A930E4">
        <w:rPr>
          <w:sz w:val="22"/>
          <w:szCs w:val="22"/>
        </w:rPr>
        <w:br/>
      </w:r>
      <w:r w:rsidRPr="00A930E4">
        <w:rPr>
          <w:b/>
          <w:sz w:val="22"/>
          <w:szCs w:val="22"/>
        </w:rPr>
        <w:t>UNIVERSAL SETTLEMENTS INTERNATIONAL INC.</w:t>
      </w:r>
    </w:p>
    <w:p w:rsidR="00915E8A" w:rsidRPr="00A930E4" w:rsidRDefault="00915E8A" w:rsidP="00F51C52">
      <w:pPr>
        <w:widowControl/>
        <w:pBdr>
          <w:bottom w:val="single" w:sz="4" w:space="1" w:color="auto"/>
        </w:pBdr>
        <w:rPr>
          <w:sz w:val="22"/>
          <w:szCs w:val="22"/>
        </w:rPr>
      </w:pPr>
    </w:p>
    <w:p w:rsidR="00915E8A" w:rsidRPr="00A930E4" w:rsidRDefault="00915E8A" w:rsidP="00F51C52">
      <w:pPr>
        <w:widowControl/>
        <w:rPr>
          <w:sz w:val="22"/>
          <w:szCs w:val="22"/>
        </w:rPr>
      </w:pPr>
    </w:p>
    <w:p w:rsidR="00915E8A" w:rsidRPr="00A930E4" w:rsidRDefault="00915E8A" w:rsidP="00F51C52">
      <w:pPr>
        <w:widowControl/>
        <w:jc w:val="center"/>
        <w:rPr>
          <w:b/>
          <w:sz w:val="22"/>
          <w:szCs w:val="22"/>
        </w:rPr>
      </w:pPr>
      <w:r w:rsidRPr="00A930E4">
        <w:rPr>
          <w:b/>
          <w:sz w:val="22"/>
          <w:szCs w:val="22"/>
        </w:rPr>
        <w:t>DÉCIMO SEGUNDO INFORME DEL SUPERVISOR</w:t>
      </w:r>
    </w:p>
    <w:p w:rsidR="00915E8A" w:rsidRPr="00A930E4" w:rsidRDefault="00915E8A" w:rsidP="00F51C52">
      <w:pPr>
        <w:widowControl/>
        <w:jc w:val="center"/>
        <w:rPr>
          <w:b/>
          <w:sz w:val="22"/>
          <w:szCs w:val="22"/>
        </w:rPr>
      </w:pPr>
      <w:r w:rsidRPr="00A930E4">
        <w:rPr>
          <w:b/>
          <w:sz w:val="22"/>
          <w:szCs w:val="22"/>
        </w:rPr>
        <w:t>7 de enero de 2011</w:t>
      </w:r>
    </w:p>
    <w:p w:rsidR="00915E8A" w:rsidRPr="00A930E4" w:rsidRDefault="00915E8A" w:rsidP="00F51C52">
      <w:pPr>
        <w:widowControl/>
        <w:rPr>
          <w:sz w:val="22"/>
          <w:szCs w:val="22"/>
        </w:rPr>
      </w:pPr>
    </w:p>
    <w:p w:rsidR="00915E8A" w:rsidRPr="00ED4EC1" w:rsidRDefault="00915E8A" w:rsidP="00F51C52">
      <w:pPr>
        <w:widowControl/>
        <w:rPr>
          <w:sz w:val="22"/>
          <w:szCs w:val="22"/>
        </w:rPr>
      </w:pPr>
      <w:r w:rsidRPr="00ED4EC1">
        <w:rPr>
          <w:b/>
          <w:sz w:val="22"/>
          <w:szCs w:val="22"/>
        </w:rPr>
        <w:t>INTRODUCCIÓN</w:t>
      </w:r>
    </w:p>
    <w:p w:rsidR="00915E8A" w:rsidRPr="00ED4EC1" w:rsidRDefault="00915E8A" w:rsidP="00F51C52">
      <w:pPr>
        <w:widowControl/>
        <w:rPr>
          <w:sz w:val="22"/>
          <w:szCs w:val="22"/>
        </w:rPr>
      </w:pPr>
    </w:p>
    <w:p w:rsidR="00915E8A" w:rsidRPr="00ED4EC1" w:rsidRDefault="00915E8A" w:rsidP="00F51C52">
      <w:pPr>
        <w:widowControl/>
        <w:numPr>
          <w:ilvl w:val="0"/>
          <w:numId w:val="43"/>
        </w:numPr>
        <w:tabs>
          <w:tab w:val="clear" w:pos="360"/>
          <w:tab w:val="num" w:pos="567"/>
        </w:tabs>
        <w:spacing w:line="360" w:lineRule="auto"/>
        <w:ind w:left="567" w:hanging="567"/>
        <w:rPr>
          <w:sz w:val="22"/>
          <w:szCs w:val="22"/>
        </w:rPr>
      </w:pPr>
      <w:r w:rsidRPr="00ED4EC1">
        <w:rPr>
          <w:sz w:val="22"/>
          <w:szCs w:val="22"/>
        </w:rPr>
        <w:t>El 2 de diciembre de 2008, Universal Settlements International Inc. (“</w:t>
      </w:r>
      <w:r w:rsidRPr="00ED4EC1">
        <w:rPr>
          <w:b/>
          <w:sz w:val="22"/>
          <w:szCs w:val="22"/>
        </w:rPr>
        <w:t>USI</w:t>
      </w:r>
      <w:r w:rsidRPr="00ED4EC1">
        <w:rPr>
          <w:sz w:val="22"/>
          <w:szCs w:val="22"/>
        </w:rPr>
        <w:t>” o la “</w:t>
      </w:r>
      <w:r w:rsidRPr="00ED4EC1">
        <w:rPr>
          <w:b/>
          <w:sz w:val="22"/>
          <w:szCs w:val="22"/>
        </w:rPr>
        <w:t>Compañía</w:t>
      </w:r>
      <w:r w:rsidRPr="00ED4EC1">
        <w:rPr>
          <w:sz w:val="22"/>
          <w:szCs w:val="22"/>
        </w:rPr>
        <w:t xml:space="preserve">”) solicitó y obtuvo protección ante sus acreedores según la </w:t>
      </w:r>
      <w:r w:rsidRPr="00ED4EC1">
        <w:rPr>
          <w:i/>
          <w:sz w:val="22"/>
          <w:szCs w:val="22"/>
        </w:rPr>
        <w:t xml:space="preserve">Companies' Creditors Arrangement Act </w:t>
      </w:r>
      <w:r w:rsidRPr="00ED4EC1">
        <w:rPr>
          <w:sz w:val="22"/>
          <w:szCs w:val="22"/>
        </w:rPr>
        <w:t>[Ley sobre los Acuerdos con los Acreedores de Compañías], Leyes Modificadas de Canadá 1985, cap. C-36, tal como enmendada (la “</w:t>
      </w:r>
      <w:r w:rsidRPr="00ED4EC1">
        <w:rPr>
          <w:b/>
          <w:sz w:val="22"/>
          <w:szCs w:val="22"/>
        </w:rPr>
        <w:t>CCAA</w:t>
      </w:r>
      <w:r w:rsidRPr="00ED4EC1">
        <w:rPr>
          <w:sz w:val="22"/>
          <w:szCs w:val="22"/>
        </w:rPr>
        <w:t>”, por sus siglas en inglés), de conformidad con las disposiciones de una Orden de este Tribunal con fecha 2 de diciembre de 2008 (la “</w:t>
      </w:r>
      <w:r w:rsidRPr="00ED4EC1">
        <w:rPr>
          <w:b/>
          <w:sz w:val="22"/>
          <w:szCs w:val="22"/>
        </w:rPr>
        <w:t>Orden Inicial</w:t>
      </w:r>
      <w:r w:rsidRPr="00ED4EC1">
        <w:rPr>
          <w:sz w:val="22"/>
          <w:szCs w:val="22"/>
        </w:rPr>
        <w:t>”). De conformidad con la Orden Inicial, Ernst &amp; Young Inc. fue nombrado como supervisor (el “</w:t>
      </w:r>
      <w:r w:rsidRPr="00ED4EC1">
        <w:rPr>
          <w:b/>
          <w:sz w:val="22"/>
          <w:szCs w:val="22"/>
        </w:rPr>
        <w:t>Supervisor</w:t>
      </w:r>
      <w:r w:rsidRPr="00ED4EC1">
        <w:rPr>
          <w:sz w:val="22"/>
          <w:szCs w:val="22"/>
        </w:rPr>
        <w:t>”) de la Compañía durante estos procedimientos según la CCAA (“</w:t>
      </w:r>
      <w:r w:rsidRPr="00ED4EC1">
        <w:rPr>
          <w:b/>
          <w:sz w:val="22"/>
          <w:szCs w:val="22"/>
        </w:rPr>
        <w:t>Procedimientos según la CCAA</w:t>
      </w:r>
      <w:r w:rsidRPr="00ED4EC1">
        <w:rPr>
          <w:sz w:val="22"/>
          <w:szCs w:val="22"/>
        </w:rPr>
        <w:t>”).</w:t>
      </w:r>
    </w:p>
    <w:p w:rsidR="00915E8A" w:rsidRPr="00ED4EC1"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ED4EC1">
        <w:rPr>
          <w:sz w:val="22"/>
          <w:szCs w:val="22"/>
        </w:rPr>
        <w:t>El 22 de junio de 2009, el Plan de concordato enmendado con fecha 16 de junio de 2009 (el</w:t>
      </w:r>
      <w:r w:rsidRPr="00A930E4">
        <w:rPr>
          <w:sz w:val="22"/>
          <w:szCs w:val="22"/>
        </w:rPr>
        <w:t xml:space="preserve"> </w:t>
      </w:r>
      <w:r w:rsidRPr="00A930E4">
        <w:rPr>
          <w:b/>
          <w:sz w:val="22"/>
          <w:szCs w:val="22"/>
        </w:rPr>
        <w:t>“Plan”</w:t>
      </w:r>
      <w:r w:rsidRPr="00A930E4">
        <w:rPr>
          <w:sz w:val="22"/>
          <w:szCs w:val="22"/>
        </w:rPr>
        <w:t>) fue aprobado por este Tribunal de conformidad con la CCAA después de la aprobación de las mayorías requeridas de Acreedores aplicables en las Reuniones</w:t>
      </w:r>
      <w:r w:rsidR="00F364F3">
        <w:rPr>
          <w:sz w:val="22"/>
          <w:szCs w:val="22"/>
        </w:rPr>
        <w:t xml:space="preserve"> de Acreedores realizadas el 17 </w:t>
      </w:r>
      <w:r w:rsidRPr="00A930E4">
        <w:rPr>
          <w:sz w:val="22"/>
          <w:szCs w:val="22"/>
        </w:rPr>
        <w:t xml:space="preserve">de junio de 2009. Una copia del Plan se encuentra adjunta como </w:t>
      </w:r>
      <w:r w:rsidRPr="00A930E4">
        <w:rPr>
          <w:b/>
          <w:sz w:val="22"/>
          <w:szCs w:val="22"/>
        </w:rPr>
        <w:t>Apéndice “A”</w:t>
      </w:r>
      <w:r w:rsidRPr="00A930E4">
        <w:rPr>
          <w:sz w:val="22"/>
          <w:szCs w:val="22"/>
        </w:rPr>
        <w:t>.</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El 21 de julio de 2009, USI implementó el Plan </w:t>
      </w:r>
      <w:r w:rsidRPr="00A930E4">
        <w:rPr>
          <w:b/>
          <w:sz w:val="22"/>
          <w:szCs w:val="22"/>
        </w:rPr>
        <w:t>(“Fecha de implementación del Plan”)</w:t>
      </w:r>
      <w:r w:rsidRPr="00A930E4">
        <w:rPr>
          <w:sz w:val="22"/>
          <w:szCs w:val="22"/>
        </w:rPr>
        <w:t xml:space="preserve"> y el Contrato de cuenta supervisada (“</w:t>
      </w:r>
      <w:r w:rsidRPr="00A930E4">
        <w:rPr>
          <w:b/>
          <w:sz w:val="22"/>
          <w:szCs w:val="22"/>
        </w:rPr>
        <w:t>Contrato de cuenta supervisada</w:t>
      </w:r>
      <w:r w:rsidRPr="00A930E4">
        <w:rPr>
          <w:sz w:val="22"/>
          <w:szCs w:val="22"/>
        </w:rPr>
        <w:t>”) entró en vigor para facilitar la implementación y administración del Plan por parte de la Compañía. De conformidad con el Contrato de cuenta supervisada, que entró en vigor en la Fecha de implementación del Plan, la Compañía y su agente del depósito en garantía, Mills, Potoczak and Company (“</w:t>
      </w:r>
      <w:r w:rsidRPr="00A930E4">
        <w:rPr>
          <w:b/>
          <w:sz w:val="22"/>
          <w:szCs w:val="22"/>
        </w:rPr>
        <w:t>Mills</w:t>
      </w:r>
      <w:r w:rsidRPr="00A930E4">
        <w:rPr>
          <w:sz w:val="22"/>
          <w:szCs w:val="22"/>
        </w:rPr>
        <w:t xml:space="preserve">” y conjuntamente con la Compañía, los </w:t>
      </w:r>
      <w:r w:rsidRPr="00A930E4">
        <w:rPr>
          <w:b/>
          <w:sz w:val="22"/>
          <w:szCs w:val="22"/>
        </w:rPr>
        <w:t>“Fideicomisarios”</w:t>
      </w:r>
      <w:r w:rsidRPr="00A930E4">
        <w:rPr>
          <w:sz w:val="22"/>
          <w:szCs w:val="22"/>
        </w:rPr>
        <w:t>) empezaron a mantener en fideicomiso el dinero en efectivo, las pólizas de seguro y otros activos descritos en el Plan (</w:t>
      </w:r>
      <w:r w:rsidRPr="00A930E4">
        <w:rPr>
          <w:b/>
          <w:sz w:val="22"/>
          <w:szCs w:val="22"/>
        </w:rPr>
        <w:t>“Activos del Plan”</w:t>
      </w:r>
      <w:r w:rsidRPr="00A930E4">
        <w:rPr>
          <w:sz w:val="22"/>
          <w:szCs w:val="22"/>
        </w:rPr>
        <w:t xml:space="preserve">) </w:t>
      </w:r>
      <w:r w:rsidRPr="00A930E4">
        <w:rPr>
          <w:sz w:val="22"/>
          <w:szCs w:val="22"/>
        </w:rPr>
        <w:lastRenderedPageBreak/>
        <w:t>en beneficio de las partes interesadas del Plan (</w:t>
      </w:r>
      <w:r w:rsidRPr="00A930E4">
        <w:rPr>
          <w:b/>
          <w:sz w:val="22"/>
          <w:szCs w:val="22"/>
        </w:rPr>
        <w:t>“Beneficiarios del Plan”</w:t>
      </w:r>
      <w:r w:rsidRPr="00A930E4">
        <w:rPr>
          <w:sz w:val="22"/>
          <w:szCs w:val="22"/>
        </w:rPr>
        <w:t>) para asegurarse de que los Activos del Plan se trataran según lo dispuesto en el Plan. Como resultado, el Supervisor no posee ni controla los Activos del Plan ni los registros de la Compañía. El Supervisor es responsable de monitorear la administración de los Activos del Plan por parte de la Compañía y Mills de acuerdo con los términos del Plan y del Contrato de cuenta supervisada.</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Hasta la fecha, el Supervisor ha presentado los siguientes informes a este Tribunal, los cuales se encuentran disponibles en el sitio Web del Supervisor (</w:t>
      </w:r>
      <w:hyperlink r:id="rId7" w:history="1">
        <w:r w:rsidRPr="00A930E4">
          <w:rPr>
            <w:rStyle w:val="Hyperlink"/>
            <w:sz w:val="22"/>
            <w:szCs w:val="22"/>
          </w:rPr>
          <w:t>www.ey.com/ca/universalsettlements</w:t>
        </w:r>
      </w:hyperlink>
      <w:r w:rsidRPr="00A930E4">
        <w:rPr>
          <w:sz w:val="22"/>
          <w:szCs w:val="22"/>
        </w:rPr>
        <w:t>):</w:t>
      </w:r>
    </w:p>
    <w:p w:rsidR="00915E8A" w:rsidRPr="00A930E4" w:rsidRDefault="00915E8A" w:rsidP="00F51C52">
      <w:pPr>
        <w:widowControl/>
        <w:spacing w:line="360" w:lineRule="auto"/>
        <w:rPr>
          <w:sz w:val="22"/>
          <w:szCs w:val="22"/>
        </w:rPr>
      </w:pPr>
    </w:p>
    <w:tbl>
      <w:tblPr>
        <w:tblW w:w="0" w:type="auto"/>
        <w:tblInd w:w="817"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Look w:val="0000"/>
      </w:tblPr>
      <w:tblGrid>
        <w:gridCol w:w="4536"/>
        <w:gridCol w:w="3827"/>
      </w:tblGrid>
      <w:tr w:rsidR="00915E8A" w:rsidRPr="0091748D" w:rsidTr="00D00205">
        <w:tblPrEx>
          <w:tblCellMar>
            <w:top w:w="0" w:type="dxa"/>
            <w:bottom w:w="0" w:type="dxa"/>
          </w:tblCellMar>
        </w:tblPrEx>
        <w:tc>
          <w:tcPr>
            <w:tcW w:w="4536" w:type="dxa"/>
          </w:tcPr>
          <w:p w:rsidR="00915E8A" w:rsidRPr="0091748D" w:rsidRDefault="00915E8A" w:rsidP="00F51C52">
            <w:pPr>
              <w:widowControl/>
              <w:spacing w:line="360" w:lineRule="auto"/>
              <w:jc w:val="center"/>
              <w:rPr>
                <w:b/>
                <w:sz w:val="22"/>
                <w:szCs w:val="22"/>
              </w:rPr>
            </w:pPr>
            <w:r>
              <w:rPr>
                <w:b/>
                <w:sz w:val="22"/>
              </w:rPr>
              <w:t>Informe</w:t>
            </w:r>
          </w:p>
        </w:tc>
        <w:tc>
          <w:tcPr>
            <w:tcW w:w="3827" w:type="dxa"/>
          </w:tcPr>
          <w:p w:rsidR="00915E8A" w:rsidRPr="0091748D" w:rsidRDefault="00915E8A" w:rsidP="00F51C52">
            <w:pPr>
              <w:widowControl/>
              <w:spacing w:line="360" w:lineRule="auto"/>
              <w:jc w:val="center"/>
              <w:rPr>
                <w:b/>
                <w:sz w:val="22"/>
                <w:szCs w:val="22"/>
              </w:rPr>
            </w:pPr>
            <w:r>
              <w:rPr>
                <w:b/>
                <w:sz w:val="22"/>
              </w:rPr>
              <w:t>Fecha</w:t>
            </w:r>
          </w:p>
        </w:tc>
      </w:tr>
      <w:tr w:rsidR="00915E8A" w:rsidRPr="0091748D" w:rsidTr="00D00205">
        <w:tblPrEx>
          <w:tblCellMar>
            <w:top w:w="0" w:type="dxa"/>
            <w:bottom w:w="0" w:type="dxa"/>
          </w:tblCellMar>
        </w:tblPrEx>
        <w:tc>
          <w:tcPr>
            <w:tcW w:w="4536" w:type="dxa"/>
          </w:tcPr>
          <w:p w:rsidR="00915E8A" w:rsidRPr="0091748D" w:rsidRDefault="00915E8A" w:rsidP="00F51C52">
            <w:pPr>
              <w:widowControl/>
              <w:spacing w:line="360" w:lineRule="auto"/>
              <w:rPr>
                <w:sz w:val="20"/>
                <w:szCs w:val="20"/>
              </w:rPr>
            </w:pPr>
            <w:r>
              <w:rPr>
                <w:sz w:val="20"/>
              </w:rPr>
              <w:t>Primer Informe</w:t>
            </w:r>
          </w:p>
        </w:tc>
        <w:tc>
          <w:tcPr>
            <w:tcW w:w="3827" w:type="dxa"/>
          </w:tcPr>
          <w:p w:rsidR="00915E8A" w:rsidRPr="0091748D" w:rsidRDefault="00915E8A" w:rsidP="00F51C52">
            <w:pPr>
              <w:widowControl/>
              <w:spacing w:line="360" w:lineRule="auto"/>
              <w:rPr>
                <w:sz w:val="20"/>
                <w:szCs w:val="20"/>
              </w:rPr>
            </w:pPr>
            <w:r>
              <w:rPr>
                <w:sz w:val="20"/>
              </w:rPr>
              <w:t>17 de diciembre de 2008</w:t>
            </w:r>
          </w:p>
        </w:tc>
      </w:tr>
      <w:tr w:rsidR="00915E8A" w:rsidRPr="0091748D" w:rsidTr="00D00205">
        <w:tblPrEx>
          <w:tblCellMar>
            <w:top w:w="0" w:type="dxa"/>
            <w:bottom w:w="0" w:type="dxa"/>
          </w:tblCellMar>
        </w:tblPrEx>
        <w:tc>
          <w:tcPr>
            <w:tcW w:w="4536" w:type="dxa"/>
          </w:tcPr>
          <w:p w:rsidR="00915E8A" w:rsidRPr="0091748D" w:rsidRDefault="00915E8A" w:rsidP="00F51C52">
            <w:pPr>
              <w:widowControl/>
              <w:spacing w:line="360" w:lineRule="auto"/>
              <w:rPr>
                <w:sz w:val="20"/>
                <w:szCs w:val="20"/>
              </w:rPr>
            </w:pPr>
            <w:r>
              <w:rPr>
                <w:sz w:val="20"/>
              </w:rPr>
              <w:t>Segundo Informe</w:t>
            </w:r>
          </w:p>
        </w:tc>
        <w:tc>
          <w:tcPr>
            <w:tcW w:w="3827" w:type="dxa"/>
          </w:tcPr>
          <w:p w:rsidR="00915E8A" w:rsidRPr="0091748D" w:rsidRDefault="00915E8A" w:rsidP="00F51C52">
            <w:pPr>
              <w:widowControl/>
              <w:spacing w:line="360" w:lineRule="auto"/>
              <w:rPr>
                <w:sz w:val="20"/>
                <w:szCs w:val="20"/>
              </w:rPr>
            </w:pPr>
            <w:r>
              <w:rPr>
                <w:sz w:val="20"/>
              </w:rPr>
              <w:t>22 de diciembre de 2008</w:t>
            </w:r>
          </w:p>
        </w:tc>
      </w:tr>
      <w:tr w:rsidR="00915E8A" w:rsidRPr="0091748D" w:rsidTr="00D00205">
        <w:tblPrEx>
          <w:tblCellMar>
            <w:top w:w="0" w:type="dxa"/>
            <w:bottom w:w="0" w:type="dxa"/>
          </w:tblCellMar>
        </w:tblPrEx>
        <w:tc>
          <w:tcPr>
            <w:tcW w:w="4536" w:type="dxa"/>
          </w:tcPr>
          <w:p w:rsidR="00915E8A" w:rsidRPr="0091748D" w:rsidRDefault="00915E8A" w:rsidP="00F51C52">
            <w:pPr>
              <w:widowControl/>
              <w:spacing w:line="360" w:lineRule="auto"/>
              <w:rPr>
                <w:sz w:val="20"/>
                <w:szCs w:val="20"/>
              </w:rPr>
            </w:pPr>
            <w:r>
              <w:rPr>
                <w:sz w:val="20"/>
              </w:rPr>
              <w:t>Tercer Informe</w:t>
            </w:r>
          </w:p>
        </w:tc>
        <w:tc>
          <w:tcPr>
            <w:tcW w:w="3827" w:type="dxa"/>
          </w:tcPr>
          <w:p w:rsidR="00915E8A" w:rsidRPr="0091748D" w:rsidRDefault="00915E8A" w:rsidP="00F51C52">
            <w:pPr>
              <w:widowControl/>
              <w:spacing w:line="360" w:lineRule="auto"/>
              <w:rPr>
                <w:sz w:val="20"/>
                <w:szCs w:val="20"/>
              </w:rPr>
            </w:pPr>
            <w:r>
              <w:rPr>
                <w:sz w:val="20"/>
              </w:rPr>
              <w:t>08 de enero de 2009</w:t>
            </w:r>
          </w:p>
        </w:tc>
      </w:tr>
      <w:tr w:rsidR="00915E8A" w:rsidRPr="0091748D" w:rsidTr="00D00205">
        <w:tblPrEx>
          <w:tblCellMar>
            <w:top w:w="0" w:type="dxa"/>
            <w:bottom w:w="0" w:type="dxa"/>
          </w:tblCellMar>
        </w:tblPrEx>
        <w:tc>
          <w:tcPr>
            <w:tcW w:w="4536" w:type="dxa"/>
          </w:tcPr>
          <w:p w:rsidR="00915E8A" w:rsidRPr="0091748D" w:rsidRDefault="00915E8A" w:rsidP="00F51C52">
            <w:pPr>
              <w:widowControl/>
              <w:spacing w:line="360" w:lineRule="auto"/>
              <w:rPr>
                <w:sz w:val="20"/>
                <w:szCs w:val="20"/>
              </w:rPr>
            </w:pPr>
            <w:r>
              <w:rPr>
                <w:sz w:val="20"/>
              </w:rPr>
              <w:t>Cuarto Informe</w:t>
            </w:r>
          </w:p>
        </w:tc>
        <w:tc>
          <w:tcPr>
            <w:tcW w:w="3827" w:type="dxa"/>
          </w:tcPr>
          <w:p w:rsidR="00915E8A" w:rsidRPr="0091748D" w:rsidRDefault="00915E8A" w:rsidP="00F51C52">
            <w:pPr>
              <w:widowControl/>
              <w:spacing w:line="360" w:lineRule="auto"/>
              <w:rPr>
                <w:sz w:val="20"/>
                <w:szCs w:val="20"/>
              </w:rPr>
            </w:pPr>
            <w:r>
              <w:rPr>
                <w:sz w:val="20"/>
              </w:rPr>
              <w:t>20 de enero de 2009</w:t>
            </w:r>
          </w:p>
        </w:tc>
      </w:tr>
      <w:tr w:rsidR="00915E8A" w:rsidRPr="0091748D" w:rsidTr="00D00205">
        <w:tblPrEx>
          <w:tblCellMar>
            <w:top w:w="0" w:type="dxa"/>
            <w:bottom w:w="0" w:type="dxa"/>
          </w:tblCellMar>
        </w:tblPrEx>
        <w:tc>
          <w:tcPr>
            <w:tcW w:w="4536" w:type="dxa"/>
          </w:tcPr>
          <w:p w:rsidR="00915E8A" w:rsidRPr="0091748D" w:rsidRDefault="00915E8A" w:rsidP="00F51C52">
            <w:pPr>
              <w:widowControl/>
              <w:spacing w:line="360" w:lineRule="auto"/>
              <w:rPr>
                <w:sz w:val="20"/>
                <w:szCs w:val="20"/>
              </w:rPr>
            </w:pPr>
            <w:r>
              <w:rPr>
                <w:sz w:val="20"/>
              </w:rPr>
              <w:t>Quinto Informe</w:t>
            </w:r>
          </w:p>
        </w:tc>
        <w:tc>
          <w:tcPr>
            <w:tcW w:w="3827" w:type="dxa"/>
          </w:tcPr>
          <w:p w:rsidR="00915E8A" w:rsidRPr="0091748D" w:rsidRDefault="00915E8A" w:rsidP="00F51C52">
            <w:pPr>
              <w:widowControl/>
              <w:spacing w:line="360" w:lineRule="auto"/>
              <w:rPr>
                <w:sz w:val="20"/>
                <w:szCs w:val="20"/>
              </w:rPr>
            </w:pPr>
            <w:r>
              <w:rPr>
                <w:sz w:val="20"/>
              </w:rPr>
              <w:t>23 de febrero de 2009</w:t>
            </w:r>
          </w:p>
        </w:tc>
      </w:tr>
      <w:tr w:rsidR="00915E8A" w:rsidRPr="0091748D" w:rsidTr="00D00205">
        <w:tblPrEx>
          <w:tblCellMar>
            <w:top w:w="0" w:type="dxa"/>
            <w:bottom w:w="0" w:type="dxa"/>
          </w:tblCellMar>
        </w:tblPrEx>
        <w:tc>
          <w:tcPr>
            <w:tcW w:w="4536" w:type="dxa"/>
          </w:tcPr>
          <w:p w:rsidR="00915E8A" w:rsidRPr="0091748D" w:rsidRDefault="00915E8A" w:rsidP="00F51C52">
            <w:pPr>
              <w:widowControl/>
              <w:spacing w:line="360" w:lineRule="auto"/>
              <w:rPr>
                <w:sz w:val="20"/>
                <w:szCs w:val="20"/>
              </w:rPr>
            </w:pPr>
            <w:r>
              <w:rPr>
                <w:sz w:val="20"/>
              </w:rPr>
              <w:t>Sexto Informe</w:t>
            </w:r>
          </w:p>
        </w:tc>
        <w:tc>
          <w:tcPr>
            <w:tcW w:w="3827" w:type="dxa"/>
          </w:tcPr>
          <w:p w:rsidR="00915E8A" w:rsidRPr="0091748D" w:rsidRDefault="00915E8A" w:rsidP="00F51C52">
            <w:pPr>
              <w:widowControl/>
              <w:spacing w:line="360" w:lineRule="auto"/>
              <w:rPr>
                <w:sz w:val="20"/>
                <w:szCs w:val="20"/>
              </w:rPr>
            </w:pPr>
            <w:r>
              <w:rPr>
                <w:sz w:val="20"/>
              </w:rPr>
              <w:t>21 de abril de 2009</w:t>
            </w:r>
          </w:p>
        </w:tc>
      </w:tr>
      <w:tr w:rsidR="00915E8A" w:rsidRPr="0091748D" w:rsidTr="00D00205">
        <w:tblPrEx>
          <w:tblCellMar>
            <w:top w:w="0" w:type="dxa"/>
            <w:bottom w:w="0" w:type="dxa"/>
          </w:tblCellMar>
        </w:tblPrEx>
        <w:tc>
          <w:tcPr>
            <w:tcW w:w="4536" w:type="dxa"/>
          </w:tcPr>
          <w:p w:rsidR="00915E8A" w:rsidRPr="0091748D" w:rsidRDefault="00915E8A" w:rsidP="00F51C52">
            <w:pPr>
              <w:widowControl/>
              <w:spacing w:line="360" w:lineRule="auto"/>
              <w:rPr>
                <w:sz w:val="20"/>
                <w:szCs w:val="20"/>
              </w:rPr>
            </w:pPr>
            <w:r>
              <w:rPr>
                <w:sz w:val="20"/>
              </w:rPr>
              <w:t>Séptimo Informe y Suplemento al Séptimo Informe</w:t>
            </w:r>
          </w:p>
        </w:tc>
        <w:tc>
          <w:tcPr>
            <w:tcW w:w="3827" w:type="dxa"/>
          </w:tcPr>
          <w:p w:rsidR="00915E8A" w:rsidRPr="0091748D" w:rsidRDefault="00915E8A" w:rsidP="00F51C52">
            <w:pPr>
              <w:widowControl/>
              <w:spacing w:line="360" w:lineRule="auto"/>
              <w:rPr>
                <w:sz w:val="20"/>
                <w:szCs w:val="20"/>
              </w:rPr>
            </w:pPr>
            <w:r>
              <w:rPr>
                <w:sz w:val="20"/>
              </w:rPr>
              <w:t>7 de mayo de 2009 y 15 de mayo de 2009</w:t>
            </w:r>
          </w:p>
        </w:tc>
      </w:tr>
      <w:tr w:rsidR="00915E8A" w:rsidRPr="0091748D" w:rsidTr="00D00205">
        <w:tblPrEx>
          <w:tblCellMar>
            <w:top w:w="0" w:type="dxa"/>
            <w:bottom w:w="0" w:type="dxa"/>
          </w:tblCellMar>
        </w:tblPrEx>
        <w:tc>
          <w:tcPr>
            <w:tcW w:w="4536" w:type="dxa"/>
          </w:tcPr>
          <w:p w:rsidR="00915E8A" w:rsidRPr="0091748D" w:rsidRDefault="00915E8A" w:rsidP="00F51C52">
            <w:pPr>
              <w:widowControl/>
              <w:spacing w:line="360" w:lineRule="auto"/>
              <w:rPr>
                <w:sz w:val="20"/>
                <w:szCs w:val="20"/>
              </w:rPr>
            </w:pPr>
            <w:r>
              <w:rPr>
                <w:sz w:val="20"/>
              </w:rPr>
              <w:t>Octavo Informe</w:t>
            </w:r>
          </w:p>
        </w:tc>
        <w:tc>
          <w:tcPr>
            <w:tcW w:w="3827" w:type="dxa"/>
          </w:tcPr>
          <w:p w:rsidR="00915E8A" w:rsidRPr="0091748D" w:rsidRDefault="00915E8A" w:rsidP="00F51C52">
            <w:pPr>
              <w:widowControl/>
              <w:spacing w:line="360" w:lineRule="auto"/>
              <w:rPr>
                <w:sz w:val="20"/>
                <w:szCs w:val="20"/>
              </w:rPr>
            </w:pPr>
            <w:r>
              <w:rPr>
                <w:sz w:val="20"/>
              </w:rPr>
              <w:t>10 de junio de 2009</w:t>
            </w:r>
          </w:p>
        </w:tc>
      </w:tr>
      <w:tr w:rsidR="00915E8A" w:rsidRPr="0091748D" w:rsidTr="00D00205">
        <w:tblPrEx>
          <w:tblCellMar>
            <w:top w:w="0" w:type="dxa"/>
            <w:bottom w:w="0" w:type="dxa"/>
          </w:tblCellMar>
        </w:tblPrEx>
        <w:tc>
          <w:tcPr>
            <w:tcW w:w="4536" w:type="dxa"/>
          </w:tcPr>
          <w:p w:rsidR="00915E8A" w:rsidRPr="0091748D" w:rsidRDefault="00915E8A" w:rsidP="00F51C52">
            <w:pPr>
              <w:widowControl/>
              <w:spacing w:line="360" w:lineRule="auto"/>
              <w:rPr>
                <w:sz w:val="20"/>
                <w:szCs w:val="20"/>
              </w:rPr>
            </w:pPr>
            <w:r>
              <w:rPr>
                <w:sz w:val="20"/>
              </w:rPr>
              <w:t>Noveno Informe</w:t>
            </w:r>
          </w:p>
        </w:tc>
        <w:tc>
          <w:tcPr>
            <w:tcW w:w="3827" w:type="dxa"/>
          </w:tcPr>
          <w:p w:rsidR="00915E8A" w:rsidRPr="0091748D" w:rsidRDefault="00915E8A" w:rsidP="00F51C52">
            <w:pPr>
              <w:widowControl/>
              <w:spacing w:line="360" w:lineRule="auto"/>
              <w:rPr>
                <w:sz w:val="20"/>
                <w:szCs w:val="20"/>
              </w:rPr>
            </w:pPr>
            <w:r>
              <w:rPr>
                <w:sz w:val="20"/>
              </w:rPr>
              <w:t>19 de junio de 2009</w:t>
            </w:r>
          </w:p>
        </w:tc>
      </w:tr>
      <w:tr w:rsidR="00915E8A" w:rsidRPr="0091748D" w:rsidTr="00D00205">
        <w:tblPrEx>
          <w:tblCellMar>
            <w:top w:w="0" w:type="dxa"/>
            <w:bottom w:w="0" w:type="dxa"/>
          </w:tblCellMar>
        </w:tblPrEx>
        <w:tc>
          <w:tcPr>
            <w:tcW w:w="4536" w:type="dxa"/>
          </w:tcPr>
          <w:p w:rsidR="00915E8A" w:rsidRPr="0091748D" w:rsidRDefault="00915E8A" w:rsidP="00F51C52">
            <w:pPr>
              <w:widowControl/>
              <w:spacing w:line="360" w:lineRule="auto"/>
              <w:rPr>
                <w:sz w:val="20"/>
                <w:szCs w:val="20"/>
              </w:rPr>
            </w:pPr>
            <w:r>
              <w:rPr>
                <w:sz w:val="20"/>
              </w:rPr>
              <w:t xml:space="preserve">Décimo Informe </w:t>
            </w:r>
          </w:p>
        </w:tc>
        <w:tc>
          <w:tcPr>
            <w:tcW w:w="3827" w:type="dxa"/>
          </w:tcPr>
          <w:p w:rsidR="00915E8A" w:rsidRPr="0091748D" w:rsidRDefault="00915E8A" w:rsidP="00F51C52">
            <w:pPr>
              <w:widowControl/>
              <w:spacing w:line="360" w:lineRule="auto"/>
              <w:rPr>
                <w:sz w:val="20"/>
                <w:szCs w:val="20"/>
              </w:rPr>
            </w:pPr>
            <w:r>
              <w:rPr>
                <w:sz w:val="20"/>
              </w:rPr>
              <w:t xml:space="preserve">14 de julio de 2009 </w:t>
            </w:r>
          </w:p>
        </w:tc>
      </w:tr>
      <w:tr w:rsidR="00915E8A" w:rsidRPr="0091748D" w:rsidTr="00D00205">
        <w:tblPrEx>
          <w:tblCellMar>
            <w:top w:w="0" w:type="dxa"/>
            <w:bottom w:w="0" w:type="dxa"/>
          </w:tblCellMar>
        </w:tblPrEx>
        <w:tc>
          <w:tcPr>
            <w:tcW w:w="4536" w:type="dxa"/>
          </w:tcPr>
          <w:p w:rsidR="00915E8A" w:rsidRPr="0091748D" w:rsidRDefault="00915E8A" w:rsidP="00F51C52">
            <w:pPr>
              <w:widowControl/>
              <w:spacing w:line="360" w:lineRule="auto"/>
              <w:rPr>
                <w:sz w:val="20"/>
                <w:szCs w:val="20"/>
              </w:rPr>
            </w:pPr>
            <w:r>
              <w:rPr>
                <w:sz w:val="20"/>
              </w:rPr>
              <w:t>Décimo Primer Informe</w:t>
            </w:r>
          </w:p>
        </w:tc>
        <w:tc>
          <w:tcPr>
            <w:tcW w:w="3827" w:type="dxa"/>
          </w:tcPr>
          <w:p w:rsidR="00915E8A" w:rsidRPr="0091748D" w:rsidRDefault="00915E8A" w:rsidP="00F51C52">
            <w:pPr>
              <w:widowControl/>
              <w:spacing w:line="360" w:lineRule="auto"/>
              <w:rPr>
                <w:sz w:val="20"/>
                <w:szCs w:val="20"/>
              </w:rPr>
            </w:pPr>
            <w:r>
              <w:rPr>
                <w:sz w:val="20"/>
              </w:rPr>
              <w:t>9 de diciembre de 2009</w:t>
            </w:r>
          </w:p>
        </w:tc>
      </w:tr>
    </w:tbl>
    <w:p w:rsidR="00915E8A" w:rsidRPr="0091748D"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El propósito de este décimo segundo informe (el “</w:t>
      </w:r>
      <w:r w:rsidRPr="00A930E4">
        <w:rPr>
          <w:b/>
          <w:sz w:val="22"/>
          <w:szCs w:val="22"/>
        </w:rPr>
        <w:t>Décimo Segundo Informe</w:t>
      </w:r>
      <w:r w:rsidRPr="00A930E4">
        <w:rPr>
          <w:sz w:val="22"/>
          <w:szCs w:val="22"/>
        </w:rPr>
        <w:t>” o “</w:t>
      </w:r>
      <w:r w:rsidRPr="00A930E4">
        <w:rPr>
          <w:b/>
          <w:sz w:val="22"/>
          <w:szCs w:val="22"/>
        </w:rPr>
        <w:t>Informe</w:t>
      </w:r>
      <w:r w:rsidRPr="00A930E4">
        <w:rPr>
          <w:sz w:val="22"/>
          <w:szCs w:val="22"/>
        </w:rPr>
        <w:t>”) es proporcionar a este Tribunal información con respecto a:</w:t>
      </w:r>
    </w:p>
    <w:p w:rsidR="00915E8A" w:rsidRPr="00A930E4" w:rsidRDefault="00915E8A" w:rsidP="00F51C52">
      <w:pPr>
        <w:widowControl/>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el flujo de caja en la Cuenta de fideicomiso supervisada (</w:t>
      </w:r>
      <w:r w:rsidRPr="00A930E4">
        <w:rPr>
          <w:b/>
          <w:sz w:val="22"/>
          <w:szCs w:val="22"/>
        </w:rPr>
        <w:t>“Cuenta de fideicomiso supervisada”</w:t>
      </w:r>
      <w:r w:rsidRPr="00A930E4">
        <w:rPr>
          <w:sz w:val="22"/>
          <w:szCs w:val="22"/>
        </w:rPr>
        <w:t xml:space="preserve">) desde la Fecha de implementación del Plan hasta el 30 de septiembre de 2010 (el </w:t>
      </w:r>
      <w:r w:rsidRPr="00A930E4">
        <w:rPr>
          <w:b/>
          <w:sz w:val="22"/>
          <w:szCs w:val="22"/>
        </w:rPr>
        <w:t>“Período del Informe”</w:t>
      </w:r>
      <w:r w:rsidRPr="00A930E4">
        <w:rPr>
          <w:sz w:val="22"/>
          <w:szCs w:val="22"/>
        </w:rPr>
        <w:t xml:space="preserve">) y cómo se compara éste con la previsión de entradas de efectivo y desembolsos preparada por USI para respaldar el Plan (el </w:t>
      </w:r>
      <w:r w:rsidRPr="00A930E4">
        <w:rPr>
          <w:b/>
          <w:sz w:val="22"/>
          <w:szCs w:val="22"/>
        </w:rPr>
        <w:t>“Modelo financiero”</w:t>
      </w:r>
      <w:r w:rsidRPr="00A930E4">
        <w:rPr>
          <w:sz w:val="22"/>
          <w:szCs w:val="22"/>
        </w:rPr>
        <w:t>);</w:t>
      </w:r>
    </w:p>
    <w:p w:rsidR="00915E8A" w:rsidRPr="00A930E4" w:rsidRDefault="00915E8A" w:rsidP="00F51C52">
      <w:pPr>
        <w:widowControl/>
        <w:ind w:left="207"/>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la previsión de flujo de caja actualizada preparada por USI para el período de dos años que va del 1 de octubre de 2010 al 30 de septiembre de 2012;</w:t>
      </w:r>
    </w:p>
    <w:p w:rsidR="00915E8A" w:rsidRPr="00A930E4" w:rsidRDefault="00915E8A" w:rsidP="00F51C52">
      <w:pPr>
        <w:widowControl/>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momento de una distribución a los Acreedores;</w:t>
      </w:r>
    </w:p>
    <w:p w:rsidR="00915E8A" w:rsidRPr="00A930E4" w:rsidRDefault="00915E8A" w:rsidP="00F51C52">
      <w:pPr>
        <w:widowControl/>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lastRenderedPageBreak/>
        <w:t>actualización de las verificaciones de cobertura de pólizas del 2010 realizadas por USI para verificar si los datos en sus registros asociados a su portafolio de pólizas son correctos;</w:t>
      </w:r>
    </w:p>
    <w:p w:rsidR="00915E8A" w:rsidRPr="00A930E4" w:rsidRDefault="00915E8A" w:rsidP="00F51C52">
      <w:pPr>
        <w:widowControl/>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una póliza cuyo vencimiento no se puede cobrar pues USI incluyó erróneamente la póliza en sus registros como un activo de la Compañía;</w:t>
      </w:r>
    </w:p>
    <w:p w:rsidR="00915E8A" w:rsidRPr="00A930E4" w:rsidRDefault="00915E8A" w:rsidP="00F51C52">
      <w:pPr>
        <w:widowControl/>
        <w:ind w:left="207"/>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el estatus de los litigios pendientes de USI y de los Fondos de depósito en garantía (tal como se definen en el Plan); y</w:t>
      </w:r>
    </w:p>
    <w:p w:rsidR="00915E8A" w:rsidRPr="00A930E4" w:rsidRDefault="00915E8A" w:rsidP="00F51C52">
      <w:pPr>
        <w:widowControl/>
        <w:ind w:left="207"/>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información sobre pagos a accionistas antes de los Procedimientos según la CCAA.</w:t>
      </w:r>
      <w:r w:rsidRPr="00A930E4">
        <w:rPr>
          <w:sz w:val="22"/>
          <w:szCs w:val="22"/>
        </w:rPr>
        <w:br/>
      </w:r>
    </w:p>
    <w:p w:rsidR="00915E8A" w:rsidRPr="00A930E4" w:rsidRDefault="00915E8A" w:rsidP="00F51C52">
      <w:pPr>
        <w:widowControl/>
        <w:spacing w:line="480" w:lineRule="auto"/>
        <w:rPr>
          <w:b/>
          <w:sz w:val="22"/>
          <w:szCs w:val="22"/>
        </w:rPr>
      </w:pPr>
      <w:r w:rsidRPr="00A930E4">
        <w:rPr>
          <w:b/>
          <w:sz w:val="22"/>
          <w:szCs w:val="22"/>
        </w:rPr>
        <w:t>TÉRMINOS DE REFERENCIA</w:t>
      </w: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Al preparar este Informe, el Supervisor se ha basado en información financiera no auditada, los libros y registros de USI, información financiera preparada por USI y Mills, el Modelo financiero preparado por USI para respaldar el Plan así como conversaciones con la gerencia y el abogado de USI. El Supervisor no ha auditado, revisado o de otra manera intentado verificar la exactitud o integridad de la información y, por consiguiente, el Supervisor no expresa ninguna opinión ni ninguna otra forma de seguridad sobre la información que se encuentra en este Informe. No se ha realizado un examen del Modelo financiero, la previsión de flujo de caja ni de ninguna otra información financiera orientada al futuro según lo esbozado en el </w:t>
      </w:r>
      <w:r w:rsidRPr="00A930E4">
        <w:rPr>
          <w:i/>
          <w:sz w:val="22"/>
          <w:szCs w:val="22"/>
        </w:rPr>
        <w:t xml:space="preserve">Canadian Institute of Chartered Accountants Handbook </w:t>
      </w:r>
      <w:r w:rsidRPr="00A930E4">
        <w:rPr>
          <w:sz w:val="22"/>
          <w:szCs w:val="22"/>
        </w:rPr>
        <w:t>[Manual del Instituto Canadiense de Contadores Registrados]. La información financiera orientada al futuro sobre la que se basa este Informe se basa en suposiciones de la gerencia de USI con respecto a acontecimientos futuros, y los resultados reales que se lograrán diferirán de esta información y estas variaciones pueden ser substanciales.</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A menos que se especifique lo contrario, todos los montos monetarios que se encuentran en este documento están expresados en dólares canadienses.</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Los términos que empiezan con letras mayúsculas que no están definidos en este Informe se apegarán a lo definido en la Orden Inicial, los informes previos que el Supervisor envió a este Tribunal y el Plan.</w:t>
      </w:r>
    </w:p>
    <w:p w:rsidR="00915E8A" w:rsidRPr="00A930E4" w:rsidRDefault="00915E8A" w:rsidP="00F51C52">
      <w:pPr>
        <w:widowControl/>
        <w:spacing w:line="360" w:lineRule="auto"/>
        <w:rPr>
          <w:sz w:val="22"/>
          <w:szCs w:val="22"/>
        </w:rPr>
      </w:pPr>
    </w:p>
    <w:p w:rsidR="00915E8A" w:rsidRPr="00A930E4" w:rsidRDefault="00915E8A" w:rsidP="00F51C52">
      <w:pPr>
        <w:keepNext/>
        <w:widowControl/>
        <w:spacing w:line="480" w:lineRule="auto"/>
        <w:rPr>
          <w:b/>
          <w:sz w:val="22"/>
          <w:szCs w:val="22"/>
        </w:rPr>
      </w:pPr>
      <w:r w:rsidRPr="00A930E4">
        <w:rPr>
          <w:b/>
          <w:sz w:val="22"/>
          <w:szCs w:val="22"/>
        </w:rPr>
        <w:lastRenderedPageBreak/>
        <w:t>LA CUENTA DE FIDEICOMISO SUPERVISADA</w:t>
      </w: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El Plan dispone que todas las pólizas y el efectivo, incluyendo las Reservas para primas, los ingresos provenientes del vencimiento de pólizas y el efectivo corporativo se mantienen en fideicomiso para el beneficio de las distribuciones a los Acreedores según el Plan, de conformidad con las declaraciones de fideicomiso emitidas por USI y Mills. De conformidad con el Plan, USI abrió la Cuenta de fideicomiso supervisada, en la que USI depositó y mantuvo, y sigue depositando y manteniendo, en fideicomiso estos fondos. Una vez que haya fondos suficientes disponibles en la Cuenta de fideicomiso supervisada, según lo calculado de conformidad con el Plan, se puede realizar una distribución a los Acreedores, tal como se definen en el Plan (los </w:t>
      </w:r>
      <w:r w:rsidRPr="00A930E4">
        <w:rPr>
          <w:b/>
          <w:sz w:val="22"/>
          <w:szCs w:val="22"/>
        </w:rPr>
        <w:t>“Acreedores”</w:t>
      </w:r>
      <w:r w:rsidRPr="00A930E4">
        <w:rPr>
          <w:sz w:val="22"/>
          <w:szCs w:val="22"/>
        </w:rPr>
        <w:t>). Los Acreedores se dividen en dos clases para propósitos de distribución: Acreedores comunes y Compradores.</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De conformidad con el Plan, los fondos en la Cuenta de fideicomiso supervisada se pueden utilizar para pagar los siguientes costos de mantenimiento de los activos en beneficio de los Acreedores: (i) las Primas de las Pólizas a medida que y cuando éstas sean pagaderas, (ii) los Costos profesionales, (iii) los Honorarios administrativos, (iv) los Costos de préstamos, si los hubiera, (v) la Contribución para litigios y (vi) las Reclamaciones no afectadas, (los </w:t>
      </w:r>
      <w:r w:rsidRPr="00A930E4">
        <w:rPr>
          <w:b/>
          <w:sz w:val="22"/>
          <w:szCs w:val="22"/>
        </w:rPr>
        <w:t>“Costos”</w:t>
      </w:r>
      <w:r w:rsidRPr="00A930E4">
        <w:rPr>
          <w:sz w:val="22"/>
          <w:szCs w:val="22"/>
        </w:rPr>
        <w:t>).</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Antes de que se pueda realizar alguna distribución a partir de la Cuenta de fideicomiso supervisada, el Supervisor debe estar convencido de que quedarán suficientes fondos en la Cuenta de fideicomiso supervisada para pagar los Costos del siguiente período de dos años (la </w:t>
      </w:r>
      <w:r w:rsidRPr="00A930E4">
        <w:rPr>
          <w:b/>
          <w:sz w:val="22"/>
          <w:szCs w:val="22"/>
        </w:rPr>
        <w:t>“Reserva para costos”</w:t>
      </w:r>
      <w:r w:rsidRPr="00A930E4">
        <w:rPr>
          <w:sz w:val="22"/>
          <w:szCs w:val="22"/>
        </w:rPr>
        <w:t xml:space="preserve">). El monto de la Reserva para costos se determina basándose en una previsión continua del flujo de caja de dos años preparada trimestralmente por USI (la </w:t>
      </w:r>
      <w:r w:rsidRPr="00A930E4">
        <w:rPr>
          <w:b/>
          <w:sz w:val="22"/>
          <w:szCs w:val="22"/>
        </w:rPr>
        <w:t>“Previsión de USI”</w:t>
      </w:r>
      <w:r w:rsidRPr="00A930E4">
        <w:rPr>
          <w:sz w:val="22"/>
          <w:szCs w:val="22"/>
        </w:rPr>
        <w:t>). El monto de la Reserva para costos se calcula de manera conservadora, suponiendo que no se producirán vencimientos de pólizas durante el Período de la Previsión.</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El Plan también requiere que se pague cualquier préstamo hecho contra cualquier Póliza antes de pagar alguna distribución a los Acreedores.</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Una vez que se hayan pagado los préstamos de póliza, y que la Cuenta de fideicomiso supervisada contenga fondos equivalentes al monto calculado para la Reserva para costos más $5.0 millones, se puede realizar una distribución a los Compradores y a los Acreedores comunes sacando de la Cuenta de fideicomiso supervisada los fondos que estén por encima de la Reserva para costos y </w:t>
      </w:r>
      <w:r w:rsidRPr="00A930E4">
        <w:rPr>
          <w:sz w:val="22"/>
          <w:szCs w:val="22"/>
        </w:rPr>
        <w:lastRenderedPageBreak/>
        <w:t>colocándolos en el Fondo común de los compradores y el Fondo común de los acreedores comunes, según las proporciones establecidas en el Plan.</w:t>
      </w:r>
    </w:p>
    <w:p w:rsidR="00915E8A" w:rsidRPr="00A930E4" w:rsidRDefault="00915E8A" w:rsidP="00F51C52">
      <w:pPr>
        <w:widowControl/>
        <w:spacing w:line="360" w:lineRule="auto"/>
        <w:rPr>
          <w:sz w:val="22"/>
          <w:szCs w:val="22"/>
        </w:rPr>
      </w:pPr>
    </w:p>
    <w:p w:rsidR="00915E8A" w:rsidRPr="00A930E4" w:rsidRDefault="00915E8A" w:rsidP="00F51C52">
      <w:pPr>
        <w:widowControl/>
        <w:spacing w:line="480" w:lineRule="auto"/>
        <w:rPr>
          <w:b/>
          <w:sz w:val="22"/>
          <w:szCs w:val="22"/>
        </w:rPr>
      </w:pPr>
      <w:r w:rsidRPr="00A930E4">
        <w:rPr>
          <w:b/>
          <w:sz w:val="22"/>
          <w:szCs w:val="22"/>
        </w:rPr>
        <w:t>FLUJO DE CAJA</w:t>
      </w:r>
    </w:p>
    <w:p w:rsidR="00915E8A" w:rsidRPr="00A930E4" w:rsidRDefault="00915E8A" w:rsidP="00F51C52">
      <w:pPr>
        <w:widowControl/>
        <w:spacing w:line="480" w:lineRule="auto"/>
        <w:rPr>
          <w:b/>
          <w:i/>
          <w:sz w:val="22"/>
          <w:szCs w:val="22"/>
        </w:rPr>
      </w:pPr>
      <w:r w:rsidRPr="00A930E4">
        <w:rPr>
          <w:b/>
          <w:i/>
          <w:sz w:val="22"/>
          <w:szCs w:val="22"/>
        </w:rPr>
        <w:t>Flujo de caja en la Cuenta de fideicomiso supervisada durante el Período del Informe</w:t>
      </w: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El Supervisor ha revisado con USI el historial de los vencimientos de pólizas y de las transacciones realizadas en la Cuenta de fideicomiso supervisada durante el Período del Informe. El Período del Informe abarca el período que va desde la Fecha de implementación del Plan hasta el 30 de septiembre de 2010</w:t>
      </w:r>
      <w:r w:rsidRPr="00A930E4">
        <w:rPr>
          <w:sz w:val="22"/>
          <w:szCs w:val="22"/>
          <w:vertAlign w:val="superscript"/>
        </w:rPr>
        <w:footnoteReference w:id="1"/>
      </w:r>
      <w:r w:rsidRPr="00A930E4">
        <w:rPr>
          <w:sz w:val="22"/>
          <w:szCs w:val="22"/>
        </w:rPr>
        <w:t>.</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Al 30 de septiembre de 2010, los Fideicomisarios mantenían efectivo en fideicomiso por un total aproximado de $10.6 millones, tal como se refleja en el Estado de entradas y desembolsos para el Período del Informe (aproximadamente catorce meses) que se encuentra adjunto como </w:t>
      </w:r>
      <w:r w:rsidRPr="00A930E4">
        <w:rPr>
          <w:b/>
          <w:sz w:val="22"/>
          <w:szCs w:val="22"/>
        </w:rPr>
        <w:t>Apéndice “B”</w:t>
      </w:r>
      <w:r w:rsidRPr="00A930E4">
        <w:rPr>
          <w:sz w:val="22"/>
          <w:szCs w:val="22"/>
        </w:rPr>
        <w:t>.</w:t>
      </w:r>
    </w:p>
    <w:p w:rsidR="00915E8A" w:rsidRPr="00A930E4" w:rsidRDefault="00915E8A" w:rsidP="00F51C52">
      <w:pPr>
        <w:widowControl/>
        <w:spacing w:line="360" w:lineRule="auto"/>
        <w:rPr>
          <w:sz w:val="22"/>
          <w:szCs w:val="22"/>
        </w:rPr>
      </w:pPr>
    </w:p>
    <w:p w:rsidR="00915E8A" w:rsidRPr="00A930E4" w:rsidRDefault="00915E8A" w:rsidP="00F51C52">
      <w:pPr>
        <w:keepNext/>
        <w:widowControl/>
        <w:numPr>
          <w:ilvl w:val="0"/>
          <w:numId w:val="43"/>
        </w:numPr>
        <w:tabs>
          <w:tab w:val="clear" w:pos="360"/>
          <w:tab w:val="num" w:pos="567"/>
        </w:tabs>
        <w:spacing w:line="360" w:lineRule="auto"/>
        <w:ind w:left="567" w:hanging="567"/>
        <w:rPr>
          <w:sz w:val="22"/>
          <w:szCs w:val="22"/>
        </w:rPr>
      </w:pPr>
      <w:r w:rsidRPr="00A930E4">
        <w:rPr>
          <w:sz w:val="22"/>
          <w:szCs w:val="22"/>
        </w:rPr>
        <w:t>Durante el Período del Informe:</w:t>
      </w: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hubieron seis (6) pólizas que se vencieron y cobraron por un</w:t>
      </w:r>
      <w:r w:rsidR="00F364F3">
        <w:rPr>
          <w:sz w:val="22"/>
          <w:szCs w:val="22"/>
        </w:rPr>
        <w:t xml:space="preserve"> total de aproximadamente $10.2 </w:t>
      </w:r>
      <w:r w:rsidRPr="00A930E4">
        <w:rPr>
          <w:sz w:val="22"/>
          <w:szCs w:val="22"/>
        </w:rPr>
        <w:t>millones en indemnizaciones por muerte, y una (1) póliza que se venció por un total de aproximadamente $25,000 en indemnizaciones por muerte, pero que no se cobró ya que había sido incluida en los registros de las posesiones de USI por error, tal como se explica en detalle más adelante</w:t>
      </w:r>
      <w:r w:rsidRPr="00A930E4">
        <w:rPr>
          <w:sz w:val="22"/>
          <w:szCs w:val="22"/>
          <w:vertAlign w:val="superscript"/>
        </w:rPr>
        <w:footnoteReference w:id="2"/>
      </w:r>
      <w:r w:rsidRPr="00A930E4">
        <w:rPr>
          <w:sz w:val="22"/>
          <w:szCs w:val="22"/>
        </w:rPr>
        <w:t>;</w:t>
      </w:r>
    </w:p>
    <w:p w:rsidR="00915E8A" w:rsidRPr="00A930E4" w:rsidRDefault="00915E8A" w:rsidP="00F51C52">
      <w:pPr>
        <w:widowControl/>
        <w:ind w:left="207"/>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se cobraron rentas vitalicias, y otras entradas de efectivo, a compañías de seguros por un total de aproximadamente $1.7 millones referentes a las pólizas de USI;</w:t>
      </w:r>
    </w:p>
    <w:p w:rsidR="00915E8A" w:rsidRPr="00A930E4" w:rsidRDefault="00915E8A" w:rsidP="00F51C52">
      <w:pPr>
        <w:widowControl/>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se pagaron primas de pólizas a compañías de seguros por u</w:t>
      </w:r>
      <w:r w:rsidR="00F364F3">
        <w:rPr>
          <w:sz w:val="22"/>
          <w:szCs w:val="22"/>
        </w:rPr>
        <w:t>n total de aproximadamente $7.9 </w:t>
      </w:r>
      <w:r w:rsidRPr="00A930E4">
        <w:rPr>
          <w:sz w:val="22"/>
          <w:szCs w:val="22"/>
        </w:rPr>
        <w:t>millones de dólares con respecto a pólizas que todavía no se han vencido;</w:t>
      </w:r>
    </w:p>
    <w:p w:rsidR="00915E8A" w:rsidRPr="00A930E4" w:rsidRDefault="00915E8A" w:rsidP="00F51C52">
      <w:pPr>
        <w:widowControl/>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se pagaron a USI Honorarios administrativos por un total de aproximadamente $1.5 millones, así como honorarios a Mills por un total de aproximadamente $68,000;</w:t>
      </w:r>
    </w:p>
    <w:p w:rsidR="00915E8A" w:rsidRPr="00A930E4" w:rsidRDefault="00915E8A" w:rsidP="00F51C52">
      <w:pPr>
        <w:widowControl/>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se pagaron Reclamaciones no afectadas por un total de aproximadamente $782,000, referentes principalmente a costos de administración y reestructuración incurridos en el período comprendido entre la Orden Inicial y la Fecha de implementación del Plan;</w:t>
      </w:r>
    </w:p>
    <w:p w:rsidR="00915E8A" w:rsidRPr="00A930E4" w:rsidRDefault="00915E8A" w:rsidP="00F51C52">
      <w:pPr>
        <w:widowControl/>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se pagaron honorarios y desembolsos Profesionales por un total de aproximadamente $557,000 a los profesionales mencionados en el Plan, incluyendo el Supervisor, el abogado del Supervisor y los abogados de USI, en relación con los servicios del Plan admisibles que se realizaron después de la Implementación del Plan;</w:t>
      </w:r>
    </w:p>
    <w:p w:rsidR="00915E8A" w:rsidRPr="00A930E4" w:rsidRDefault="00915E8A" w:rsidP="00F51C52">
      <w:pPr>
        <w:widowControl/>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se pagaron Contribuciones para litigios por un total aproximado de $518,000 (US$492,000) al abogado de USI en Canadá y los Estados Unidos como Contribución para litigios por los honorarios y desembolsos en los que incurrió para seguir con las Acciones en nombre de USI; y</w:t>
      </w:r>
    </w:p>
    <w:p w:rsidR="00915E8A" w:rsidRPr="00A930E4" w:rsidRDefault="00915E8A" w:rsidP="00F51C52">
      <w:pPr>
        <w:widowControl/>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los Activos del Plan experimentaron un flujo de caja positivo neto de aproximadamente $582,000, que fue resultado principalmente de los vencimientos de pólizas que se cobraron, los cuales superaron las primas y los costos para administrar el Plan.</w:t>
      </w:r>
    </w:p>
    <w:p w:rsidR="00915E8A" w:rsidRPr="00A930E4" w:rsidRDefault="00915E8A" w:rsidP="00F51C52">
      <w:pPr>
        <w:widowControl/>
        <w:spacing w:line="360" w:lineRule="auto"/>
        <w:rPr>
          <w:sz w:val="22"/>
          <w:szCs w:val="22"/>
        </w:rPr>
      </w:pPr>
    </w:p>
    <w:p w:rsidR="00915E8A" w:rsidRPr="00A930E4" w:rsidRDefault="00915E8A" w:rsidP="00F51C52">
      <w:pPr>
        <w:keepNext/>
        <w:widowControl/>
        <w:spacing w:line="480" w:lineRule="auto"/>
        <w:rPr>
          <w:b/>
          <w:i/>
          <w:sz w:val="22"/>
          <w:szCs w:val="22"/>
        </w:rPr>
      </w:pPr>
      <w:r w:rsidRPr="00A930E4">
        <w:rPr>
          <w:b/>
          <w:i/>
          <w:sz w:val="22"/>
          <w:szCs w:val="22"/>
        </w:rPr>
        <w:t>Comparación del Flujo de caja en la Cuenta de fideicomiso supervisada con el Modelo financiero</w:t>
      </w:r>
    </w:p>
    <w:p w:rsidR="00915E8A" w:rsidRPr="00A930E4" w:rsidRDefault="00915E8A" w:rsidP="00F51C52">
      <w:pPr>
        <w:keepNext/>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Tal como se describe en el Séptimo Informe al Tribunal presentado en relación con el Plan, con el fin de ayudar a USI a estimar cuándo podrían realizarse distribuciones según el Plan, USI preparó el Modelo financiero que se basó en una serie de hechos y suposiciones, incluyendo la experiencia histórica de USI en cuanto a vencimientos anteriores de pólizas en su portafolio </w:t>
      </w:r>
      <w:r w:rsidRPr="00A930E4">
        <w:rPr>
          <w:b/>
          <w:sz w:val="22"/>
          <w:szCs w:val="22"/>
        </w:rPr>
        <w:t>(“Hechos y Suposiciones”),</w:t>
      </w:r>
      <w:r w:rsidRPr="00A930E4">
        <w:rPr>
          <w:sz w:val="22"/>
          <w:szCs w:val="22"/>
        </w:rPr>
        <w:t xml:space="preserve"> los cuales se describieron en las notas del Modelo financiero. El Séptimo Informe señaló que si los acontecimientos reales, en particular el momento exacto de los vencimientos, se desviaba de los Hechos y Suposiciones reflejados en el Modelo financiero, entonces los estimados de USI con respecto al monto y el momento exacto de las distribuciones a los Acreedores tal como se esbozan en el Plan cambiarían y dichos cambios podrían ser substanciales.</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El Modelo financiero elaborado por USI y presentado para respaldar el Plan fue para un período de seis años que se iniciaba en abril de 2009. El Modelo financiero fue preparado basándose en una </w:t>
      </w:r>
      <w:r w:rsidRPr="00A930E4">
        <w:rPr>
          <w:sz w:val="22"/>
          <w:szCs w:val="22"/>
        </w:rPr>
        <w:lastRenderedPageBreak/>
        <w:t>simulación de Monte Carlo que se basó en datos históricos de vencimientos de USI, los cuales se describieron con mayor detalle en el Séptimo Informe.</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El Modelo financiero fue actualizado por USI en julio de 2009, después de la Implementación del Plan, para reflejar los vencimientos que se produjeron de abril a julio de 2009 y los ajustes correspondientes a los costos de las primas. El Monitor realizó un análisis de variación comparando las entradas de efectivo y los desembolsos reales en la Cuenta de fideicomiso supervisada con el Modelo financiero actualizado para el período comprendido entre la Implementación del Plan y el 30 de septiembre de 2010 (el </w:t>
      </w:r>
      <w:r w:rsidRPr="00A930E4">
        <w:rPr>
          <w:b/>
          <w:sz w:val="22"/>
          <w:szCs w:val="22"/>
        </w:rPr>
        <w:t>“Periodo</w:t>
      </w:r>
      <w:r w:rsidRPr="00A930E4">
        <w:rPr>
          <w:sz w:val="22"/>
          <w:szCs w:val="22"/>
        </w:rPr>
        <w:t xml:space="preserve"> </w:t>
      </w:r>
      <w:r w:rsidRPr="00A930E4">
        <w:rPr>
          <w:b/>
          <w:sz w:val="22"/>
          <w:szCs w:val="22"/>
        </w:rPr>
        <w:t>de variación”).</w:t>
      </w:r>
      <w:r w:rsidRPr="00A930E4">
        <w:rPr>
          <w:sz w:val="22"/>
          <w:szCs w:val="22"/>
        </w:rPr>
        <w:t xml:space="preserve"> Una copia del análisis de variación para el Período de variación se encuentra adjunta como </w:t>
      </w:r>
      <w:r w:rsidRPr="00A930E4">
        <w:rPr>
          <w:b/>
          <w:sz w:val="22"/>
          <w:szCs w:val="22"/>
        </w:rPr>
        <w:t>Apéndice “C”</w:t>
      </w:r>
      <w:r w:rsidRPr="00A930E4">
        <w:rPr>
          <w:sz w:val="22"/>
          <w:szCs w:val="22"/>
        </w:rPr>
        <w:t>.</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El Modelo Financiero actualizado pronosticaba un flujo de caja neto positivo de $23.7 millones durante el Período de variación. Sin embargo, el flujo de caja neto real fue de sólo $582,000 durante el Período de variación, lo que ocasionó una variación negativa de $23.1 millones (</w:t>
      </w:r>
      <w:r w:rsidRPr="00A930E4">
        <w:rPr>
          <w:b/>
          <w:sz w:val="22"/>
          <w:szCs w:val="22"/>
        </w:rPr>
        <w:t>“Variación negativa”</w:t>
      </w:r>
      <w:r w:rsidRPr="00A930E4">
        <w:rPr>
          <w:sz w:val="22"/>
          <w:szCs w:val="22"/>
        </w:rPr>
        <w:t>) durante el Período de variación. La Variación negativa se debe a que durante el Período de variación se vencieron menos pólizas que las que se habían pronosticado en el Modelo financiero.</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El Séptimo Informe identificó varios riesgos para el Plan. Uno de los riesgos más evidentes que se identificaron fue que podría ser que tomara mucho más tiempo que el previsto en el Modelo financiero de USI para que las Pólizas se venzan, lo que podría retrasar y/o reducir las distribuciones a los Acreedores. Durante el Período del Informe han habido menos Vencimientos de pólizas que los previstos por el Modelo financiero, lo que ha tenido y seguirá teniendo el efecto de retrasar una distribución a los Acreedores. Si la reducción de los Vencimientos de pólizas durante el Período del Informe también se traducirá en una reducción de las futuras distribuciones a los Acreedores dependerá de si los vencimientos de pólizas se aceleran en el futuro y se revierte la tendencia experimentada durante el Período del Informe. Si la tendencia no se revierte, y no hay vencimientos durante la Previsión de USI, habrá suficiente efectivo en caja para pagar las primas y gastos previstos hasta marzo de 2012, tiempo después del cual USI se verá obligado a recaudar fondos adicionales para pagar las primas de las pólizas y los costos de administración mediante la obtención de préstamos a partir de pólizas con valor en efectivo disponible y/o de un tercero prestamista que se especialice en préstamos en tales situaciones. El Plan permite tales préstamos, con el consentimiento previo y por escrito del Supervisor, si se consideran necesario para la preservación del portafolio de Pólizas. Antes de la Implementación del Plan, USI se reunió con </w:t>
      </w:r>
      <w:r w:rsidRPr="00A930E4">
        <w:rPr>
          <w:sz w:val="22"/>
          <w:szCs w:val="22"/>
        </w:rPr>
        <w:lastRenderedPageBreak/>
        <w:t>varios prestamistas para evaluar el costo de una financiación de este tipo. USI seguirá considerando dichas opciones así como otros medios de conservación de efectivo en caso de que parezca que se requerirá tales medidas.</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Al 30 de septiembre de 2010, el 44% de los asegurados tienen por lo menos 80 años de edad y representan pólizas que tienen indemnizaciones por muerte por u</w:t>
      </w:r>
      <w:r w:rsidR="005356DB" w:rsidRPr="00A930E4">
        <w:rPr>
          <w:sz w:val="22"/>
          <w:szCs w:val="22"/>
        </w:rPr>
        <w:t>n total de aproximadamente $146 </w:t>
      </w:r>
      <w:r w:rsidRPr="00A930E4">
        <w:rPr>
          <w:sz w:val="22"/>
          <w:szCs w:val="22"/>
        </w:rPr>
        <w:t>millones, es decir 83% del portafolio. El siguiente cuadro muestra una estratificación de las pólizas por edad de los asegurados:</w:t>
      </w:r>
    </w:p>
    <w:p w:rsidR="00915E8A" w:rsidRPr="0091748D" w:rsidRDefault="00915E8A" w:rsidP="00F51C52">
      <w:pPr>
        <w:widowControl/>
        <w:spacing w:line="360" w:lineRule="auto"/>
        <w:rPr>
          <w:sz w:val="22"/>
          <w:szCs w:val="22"/>
        </w:rPr>
      </w:pPr>
    </w:p>
    <w:tbl>
      <w:tblPr>
        <w:tblW w:w="0" w:type="auto"/>
        <w:tblInd w:w="720" w:type="dxa"/>
        <w:tblLayout w:type="fixed"/>
        <w:tblCellMar>
          <w:left w:w="40" w:type="dxa"/>
          <w:right w:w="40" w:type="dxa"/>
        </w:tblCellMar>
        <w:tblLook w:val="0000"/>
      </w:tblPr>
      <w:tblGrid>
        <w:gridCol w:w="1163"/>
        <w:gridCol w:w="1701"/>
        <w:gridCol w:w="1843"/>
        <w:gridCol w:w="1276"/>
        <w:gridCol w:w="1701"/>
      </w:tblGrid>
      <w:tr w:rsidR="00915E8A" w:rsidRPr="00203EA0" w:rsidTr="005356DB">
        <w:tblPrEx>
          <w:tblCellMar>
            <w:top w:w="0" w:type="dxa"/>
            <w:bottom w:w="0" w:type="dxa"/>
          </w:tblCellMar>
        </w:tblPrEx>
        <w:trPr>
          <w:trHeight w:val="420"/>
        </w:trPr>
        <w:tc>
          <w:tcPr>
            <w:tcW w:w="1163" w:type="dxa"/>
            <w:tcBorders>
              <w:top w:val="single" w:sz="4" w:space="0" w:color="auto"/>
              <w:left w:val="single" w:sz="4" w:space="0" w:color="auto"/>
              <w:right w:val="nil"/>
            </w:tcBorders>
          </w:tcPr>
          <w:p w:rsidR="00915E8A" w:rsidRPr="00203EA0" w:rsidRDefault="00915E8A" w:rsidP="00F51C52">
            <w:pPr>
              <w:widowControl/>
              <w:jc w:val="center"/>
              <w:rPr>
                <w:b/>
                <w:sz w:val="18"/>
                <w:szCs w:val="18"/>
              </w:rPr>
            </w:pPr>
            <w:r>
              <w:rPr>
                <w:b/>
                <w:sz w:val="18"/>
              </w:rPr>
              <w:t>Edad del asegurado</w:t>
            </w:r>
          </w:p>
        </w:tc>
        <w:tc>
          <w:tcPr>
            <w:tcW w:w="1701" w:type="dxa"/>
            <w:tcBorders>
              <w:top w:val="single" w:sz="4" w:space="0" w:color="auto"/>
              <w:left w:val="nil"/>
              <w:right w:val="nil"/>
            </w:tcBorders>
          </w:tcPr>
          <w:p w:rsidR="00915E8A" w:rsidRPr="00203EA0" w:rsidRDefault="00915E8A" w:rsidP="00F51C52">
            <w:pPr>
              <w:widowControl/>
              <w:jc w:val="center"/>
              <w:rPr>
                <w:b/>
                <w:sz w:val="18"/>
                <w:szCs w:val="18"/>
              </w:rPr>
            </w:pPr>
            <w:r>
              <w:rPr>
                <w:b/>
                <w:sz w:val="18"/>
              </w:rPr>
              <w:t xml:space="preserve">Indemnizaciones </w:t>
            </w:r>
            <w:r w:rsidR="005356DB">
              <w:rPr>
                <w:b/>
                <w:sz w:val="18"/>
              </w:rPr>
              <w:br/>
            </w:r>
            <w:r>
              <w:rPr>
                <w:b/>
                <w:sz w:val="18"/>
              </w:rPr>
              <w:t>por muerte</w:t>
            </w:r>
          </w:p>
        </w:tc>
        <w:tc>
          <w:tcPr>
            <w:tcW w:w="1843" w:type="dxa"/>
            <w:tcBorders>
              <w:top w:val="single" w:sz="4" w:space="0" w:color="auto"/>
              <w:left w:val="nil"/>
              <w:right w:val="nil"/>
            </w:tcBorders>
          </w:tcPr>
          <w:p w:rsidR="00915E8A" w:rsidRPr="00203EA0" w:rsidRDefault="00915E8A" w:rsidP="00F51C52">
            <w:pPr>
              <w:widowControl/>
              <w:jc w:val="center"/>
              <w:rPr>
                <w:b/>
                <w:sz w:val="18"/>
                <w:szCs w:val="18"/>
              </w:rPr>
            </w:pPr>
            <w:r>
              <w:rPr>
                <w:b/>
                <w:sz w:val="18"/>
              </w:rPr>
              <w:t xml:space="preserve">% del total de indemnizaciones </w:t>
            </w:r>
            <w:r w:rsidR="005356DB">
              <w:rPr>
                <w:b/>
                <w:sz w:val="18"/>
              </w:rPr>
              <w:br/>
            </w:r>
            <w:r>
              <w:rPr>
                <w:b/>
                <w:sz w:val="18"/>
              </w:rPr>
              <w:t>por muerte</w:t>
            </w:r>
          </w:p>
        </w:tc>
        <w:tc>
          <w:tcPr>
            <w:tcW w:w="1276" w:type="dxa"/>
            <w:tcBorders>
              <w:top w:val="single" w:sz="4" w:space="0" w:color="auto"/>
              <w:left w:val="nil"/>
              <w:right w:val="nil"/>
            </w:tcBorders>
          </w:tcPr>
          <w:p w:rsidR="00915E8A" w:rsidRPr="00203EA0" w:rsidRDefault="00915E8A" w:rsidP="00F51C52">
            <w:pPr>
              <w:widowControl/>
              <w:jc w:val="center"/>
              <w:rPr>
                <w:b/>
                <w:sz w:val="18"/>
                <w:szCs w:val="18"/>
              </w:rPr>
            </w:pPr>
            <w:r>
              <w:rPr>
                <w:b/>
                <w:sz w:val="18"/>
              </w:rPr>
              <w:t>Número de pólizas</w:t>
            </w:r>
          </w:p>
        </w:tc>
        <w:tc>
          <w:tcPr>
            <w:tcW w:w="1701" w:type="dxa"/>
            <w:tcBorders>
              <w:top w:val="single" w:sz="4" w:space="0" w:color="auto"/>
              <w:left w:val="nil"/>
              <w:right w:val="single" w:sz="4" w:space="0" w:color="auto"/>
            </w:tcBorders>
          </w:tcPr>
          <w:p w:rsidR="00915E8A" w:rsidRPr="00203EA0" w:rsidRDefault="00915E8A" w:rsidP="00F51C52">
            <w:pPr>
              <w:widowControl/>
              <w:jc w:val="center"/>
              <w:rPr>
                <w:b/>
                <w:sz w:val="18"/>
                <w:szCs w:val="18"/>
              </w:rPr>
            </w:pPr>
            <w:r>
              <w:rPr>
                <w:b/>
                <w:sz w:val="18"/>
              </w:rPr>
              <w:t>Número de asegurados</w:t>
            </w:r>
          </w:p>
        </w:tc>
      </w:tr>
      <w:tr w:rsidR="00915E8A" w:rsidRPr="00203EA0" w:rsidTr="005356DB">
        <w:tblPrEx>
          <w:tblCellMar>
            <w:top w:w="0" w:type="dxa"/>
            <w:bottom w:w="0" w:type="dxa"/>
          </w:tblCellMar>
        </w:tblPrEx>
        <w:tc>
          <w:tcPr>
            <w:tcW w:w="1163" w:type="dxa"/>
            <w:tcBorders>
              <w:top w:val="single" w:sz="6" w:space="0" w:color="auto"/>
              <w:left w:val="single" w:sz="4" w:space="0" w:color="auto"/>
              <w:bottom w:val="nil"/>
              <w:right w:val="nil"/>
            </w:tcBorders>
          </w:tcPr>
          <w:p w:rsidR="00915E8A" w:rsidRPr="00203EA0" w:rsidRDefault="00915E8A" w:rsidP="00F51C52">
            <w:pPr>
              <w:widowControl/>
              <w:spacing w:line="360" w:lineRule="auto"/>
              <w:rPr>
                <w:sz w:val="18"/>
                <w:szCs w:val="18"/>
              </w:rPr>
            </w:pPr>
            <w:r>
              <w:rPr>
                <w:sz w:val="18"/>
              </w:rPr>
              <w:t>90-95</w:t>
            </w:r>
          </w:p>
        </w:tc>
        <w:tc>
          <w:tcPr>
            <w:tcW w:w="1701" w:type="dxa"/>
            <w:tcBorders>
              <w:top w:val="single" w:sz="6" w:space="0" w:color="auto"/>
              <w:left w:val="nil"/>
              <w:bottom w:val="nil"/>
              <w:right w:val="nil"/>
            </w:tcBorders>
          </w:tcPr>
          <w:p w:rsidR="00915E8A" w:rsidRPr="00203EA0" w:rsidRDefault="00915E8A" w:rsidP="00F51C52">
            <w:pPr>
              <w:widowControl/>
              <w:spacing w:line="360" w:lineRule="auto"/>
              <w:jc w:val="right"/>
              <w:rPr>
                <w:sz w:val="18"/>
                <w:szCs w:val="18"/>
              </w:rPr>
            </w:pPr>
            <w:r>
              <w:rPr>
                <w:sz w:val="18"/>
              </w:rPr>
              <w:t>$ 19,755,427</w:t>
            </w:r>
          </w:p>
        </w:tc>
        <w:tc>
          <w:tcPr>
            <w:tcW w:w="1843" w:type="dxa"/>
            <w:tcBorders>
              <w:top w:val="single" w:sz="6" w:space="0" w:color="auto"/>
              <w:left w:val="nil"/>
              <w:bottom w:val="nil"/>
              <w:right w:val="nil"/>
            </w:tcBorders>
          </w:tcPr>
          <w:p w:rsidR="00915E8A" w:rsidRPr="00203EA0" w:rsidRDefault="00915E8A" w:rsidP="00F51C52">
            <w:pPr>
              <w:widowControl/>
              <w:spacing w:line="360" w:lineRule="auto"/>
              <w:jc w:val="center"/>
              <w:rPr>
                <w:sz w:val="18"/>
                <w:szCs w:val="18"/>
              </w:rPr>
            </w:pPr>
            <w:r>
              <w:rPr>
                <w:sz w:val="18"/>
              </w:rPr>
              <w:t>11%</w:t>
            </w:r>
          </w:p>
        </w:tc>
        <w:tc>
          <w:tcPr>
            <w:tcW w:w="1276" w:type="dxa"/>
            <w:tcBorders>
              <w:top w:val="single" w:sz="6" w:space="0" w:color="auto"/>
              <w:left w:val="nil"/>
              <w:bottom w:val="nil"/>
              <w:right w:val="nil"/>
            </w:tcBorders>
          </w:tcPr>
          <w:p w:rsidR="00915E8A" w:rsidRPr="00203EA0" w:rsidRDefault="00915E8A" w:rsidP="00F51C52">
            <w:pPr>
              <w:widowControl/>
              <w:spacing w:line="360" w:lineRule="auto"/>
              <w:jc w:val="center"/>
              <w:rPr>
                <w:sz w:val="18"/>
                <w:szCs w:val="18"/>
              </w:rPr>
            </w:pPr>
            <w:r>
              <w:rPr>
                <w:sz w:val="18"/>
              </w:rPr>
              <w:t>15</w:t>
            </w:r>
          </w:p>
        </w:tc>
        <w:tc>
          <w:tcPr>
            <w:tcW w:w="1701" w:type="dxa"/>
            <w:tcBorders>
              <w:top w:val="single" w:sz="6" w:space="0" w:color="auto"/>
              <w:left w:val="nil"/>
              <w:bottom w:val="nil"/>
              <w:right w:val="single" w:sz="4" w:space="0" w:color="auto"/>
            </w:tcBorders>
          </w:tcPr>
          <w:p w:rsidR="00915E8A" w:rsidRPr="00203EA0" w:rsidRDefault="00915E8A" w:rsidP="00F51C52">
            <w:pPr>
              <w:widowControl/>
              <w:spacing w:line="360" w:lineRule="auto"/>
              <w:jc w:val="center"/>
              <w:rPr>
                <w:sz w:val="18"/>
                <w:szCs w:val="18"/>
              </w:rPr>
            </w:pPr>
            <w:r>
              <w:rPr>
                <w:sz w:val="18"/>
              </w:rPr>
              <w:t>10%</w:t>
            </w:r>
          </w:p>
        </w:tc>
      </w:tr>
      <w:tr w:rsidR="00915E8A" w:rsidRPr="00203EA0" w:rsidTr="005356DB">
        <w:tblPrEx>
          <w:tblCellMar>
            <w:top w:w="0" w:type="dxa"/>
            <w:bottom w:w="0" w:type="dxa"/>
          </w:tblCellMar>
        </w:tblPrEx>
        <w:tc>
          <w:tcPr>
            <w:tcW w:w="1163" w:type="dxa"/>
            <w:tcBorders>
              <w:top w:val="nil"/>
              <w:left w:val="single" w:sz="4" w:space="0" w:color="auto"/>
              <w:bottom w:val="nil"/>
              <w:right w:val="nil"/>
            </w:tcBorders>
          </w:tcPr>
          <w:p w:rsidR="00915E8A" w:rsidRPr="00203EA0" w:rsidRDefault="00915E8A" w:rsidP="00F51C52">
            <w:pPr>
              <w:widowControl/>
              <w:spacing w:line="360" w:lineRule="auto"/>
              <w:rPr>
                <w:sz w:val="18"/>
                <w:szCs w:val="18"/>
              </w:rPr>
            </w:pPr>
            <w:r>
              <w:rPr>
                <w:sz w:val="18"/>
              </w:rPr>
              <w:t>85-89</w:t>
            </w:r>
          </w:p>
        </w:tc>
        <w:tc>
          <w:tcPr>
            <w:tcW w:w="1701" w:type="dxa"/>
            <w:tcBorders>
              <w:top w:val="nil"/>
              <w:left w:val="nil"/>
              <w:bottom w:val="nil"/>
              <w:right w:val="nil"/>
            </w:tcBorders>
          </w:tcPr>
          <w:p w:rsidR="00915E8A" w:rsidRPr="00203EA0" w:rsidRDefault="00915E8A" w:rsidP="00F51C52">
            <w:pPr>
              <w:widowControl/>
              <w:spacing w:line="360" w:lineRule="auto"/>
              <w:jc w:val="right"/>
              <w:rPr>
                <w:sz w:val="18"/>
                <w:szCs w:val="18"/>
              </w:rPr>
            </w:pPr>
            <w:r>
              <w:rPr>
                <w:sz w:val="18"/>
              </w:rPr>
              <w:t>102,827,519</w:t>
            </w:r>
          </w:p>
        </w:tc>
        <w:tc>
          <w:tcPr>
            <w:tcW w:w="1843" w:type="dxa"/>
            <w:tcBorders>
              <w:top w:val="nil"/>
              <w:left w:val="nil"/>
              <w:bottom w:val="nil"/>
              <w:right w:val="nil"/>
            </w:tcBorders>
          </w:tcPr>
          <w:p w:rsidR="00915E8A" w:rsidRPr="00203EA0" w:rsidRDefault="00915E8A" w:rsidP="00F51C52">
            <w:pPr>
              <w:widowControl/>
              <w:spacing w:line="360" w:lineRule="auto"/>
              <w:jc w:val="center"/>
              <w:rPr>
                <w:sz w:val="18"/>
                <w:szCs w:val="18"/>
              </w:rPr>
            </w:pPr>
            <w:r>
              <w:rPr>
                <w:sz w:val="18"/>
              </w:rPr>
              <w:t>59%</w:t>
            </w:r>
          </w:p>
        </w:tc>
        <w:tc>
          <w:tcPr>
            <w:tcW w:w="1276" w:type="dxa"/>
            <w:tcBorders>
              <w:top w:val="nil"/>
              <w:left w:val="nil"/>
              <w:bottom w:val="nil"/>
              <w:right w:val="nil"/>
            </w:tcBorders>
          </w:tcPr>
          <w:p w:rsidR="00915E8A" w:rsidRPr="00203EA0" w:rsidRDefault="00915E8A" w:rsidP="00F51C52">
            <w:pPr>
              <w:widowControl/>
              <w:spacing w:line="360" w:lineRule="auto"/>
              <w:jc w:val="center"/>
              <w:rPr>
                <w:sz w:val="18"/>
                <w:szCs w:val="18"/>
              </w:rPr>
            </w:pPr>
            <w:r>
              <w:rPr>
                <w:sz w:val="18"/>
              </w:rPr>
              <w:t>38</w:t>
            </w:r>
          </w:p>
        </w:tc>
        <w:tc>
          <w:tcPr>
            <w:tcW w:w="1701" w:type="dxa"/>
            <w:tcBorders>
              <w:top w:val="nil"/>
              <w:left w:val="nil"/>
              <w:bottom w:val="nil"/>
              <w:right w:val="single" w:sz="4" w:space="0" w:color="auto"/>
            </w:tcBorders>
          </w:tcPr>
          <w:p w:rsidR="00915E8A" w:rsidRPr="00203EA0" w:rsidRDefault="00915E8A" w:rsidP="00F51C52">
            <w:pPr>
              <w:widowControl/>
              <w:spacing w:line="360" w:lineRule="auto"/>
              <w:jc w:val="center"/>
              <w:rPr>
                <w:sz w:val="18"/>
                <w:szCs w:val="18"/>
              </w:rPr>
            </w:pPr>
            <w:r>
              <w:rPr>
                <w:sz w:val="18"/>
              </w:rPr>
              <w:t>26%</w:t>
            </w:r>
          </w:p>
        </w:tc>
      </w:tr>
      <w:tr w:rsidR="00915E8A" w:rsidRPr="00203EA0" w:rsidTr="005356DB">
        <w:tblPrEx>
          <w:tblCellMar>
            <w:top w:w="0" w:type="dxa"/>
            <w:bottom w:w="0" w:type="dxa"/>
          </w:tblCellMar>
        </w:tblPrEx>
        <w:tc>
          <w:tcPr>
            <w:tcW w:w="1163" w:type="dxa"/>
            <w:tcBorders>
              <w:top w:val="nil"/>
              <w:left w:val="single" w:sz="4" w:space="0" w:color="auto"/>
              <w:bottom w:val="nil"/>
              <w:right w:val="nil"/>
            </w:tcBorders>
          </w:tcPr>
          <w:p w:rsidR="00915E8A" w:rsidRPr="00203EA0" w:rsidRDefault="00915E8A" w:rsidP="00F51C52">
            <w:pPr>
              <w:widowControl/>
              <w:spacing w:line="360" w:lineRule="auto"/>
              <w:rPr>
                <w:sz w:val="18"/>
                <w:szCs w:val="18"/>
              </w:rPr>
            </w:pPr>
            <w:r>
              <w:rPr>
                <w:sz w:val="18"/>
              </w:rPr>
              <w:t>80-84</w:t>
            </w:r>
          </w:p>
        </w:tc>
        <w:tc>
          <w:tcPr>
            <w:tcW w:w="1701" w:type="dxa"/>
            <w:tcBorders>
              <w:top w:val="nil"/>
              <w:left w:val="nil"/>
              <w:bottom w:val="nil"/>
              <w:right w:val="nil"/>
            </w:tcBorders>
          </w:tcPr>
          <w:p w:rsidR="00915E8A" w:rsidRPr="00203EA0" w:rsidRDefault="00915E8A" w:rsidP="00F51C52">
            <w:pPr>
              <w:widowControl/>
              <w:spacing w:line="360" w:lineRule="auto"/>
              <w:jc w:val="right"/>
              <w:rPr>
                <w:sz w:val="18"/>
                <w:szCs w:val="18"/>
              </w:rPr>
            </w:pPr>
            <w:r>
              <w:rPr>
                <w:sz w:val="18"/>
              </w:rPr>
              <w:t>23,243,635</w:t>
            </w:r>
          </w:p>
        </w:tc>
        <w:tc>
          <w:tcPr>
            <w:tcW w:w="1843" w:type="dxa"/>
            <w:tcBorders>
              <w:top w:val="nil"/>
              <w:left w:val="nil"/>
              <w:bottom w:val="nil"/>
              <w:right w:val="nil"/>
            </w:tcBorders>
          </w:tcPr>
          <w:p w:rsidR="00915E8A" w:rsidRPr="00203EA0" w:rsidRDefault="00915E8A" w:rsidP="00F51C52">
            <w:pPr>
              <w:widowControl/>
              <w:spacing w:line="360" w:lineRule="auto"/>
              <w:jc w:val="center"/>
              <w:rPr>
                <w:sz w:val="18"/>
                <w:szCs w:val="18"/>
              </w:rPr>
            </w:pPr>
            <w:r>
              <w:rPr>
                <w:sz w:val="18"/>
              </w:rPr>
              <w:t>13%</w:t>
            </w:r>
          </w:p>
        </w:tc>
        <w:tc>
          <w:tcPr>
            <w:tcW w:w="1276" w:type="dxa"/>
            <w:tcBorders>
              <w:top w:val="nil"/>
              <w:left w:val="nil"/>
              <w:bottom w:val="nil"/>
              <w:right w:val="nil"/>
            </w:tcBorders>
          </w:tcPr>
          <w:p w:rsidR="00915E8A" w:rsidRPr="00203EA0" w:rsidRDefault="00915E8A" w:rsidP="00F51C52">
            <w:pPr>
              <w:widowControl/>
              <w:spacing w:line="360" w:lineRule="auto"/>
              <w:jc w:val="center"/>
              <w:rPr>
                <w:sz w:val="18"/>
                <w:szCs w:val="18"/>
              </w:rPr>
            </w:pPr>
            <w:r>
              <w:rPr>
                <w:sz w:val="18"/>
              </w:rPr>
              <w:t>12</w:t>
            </w:r>
          </w:p>
        </w:tc>
        <w:tc>
          <w:tcPr>
            <w:tcW w:w="1701" w:type="dxa"/>
            <w:tcBorders>
              <w:top w:val="nil"/>
              <w:left w:val="nil"/>
              <w:bottom w:val="nil"/>
              <w:right w:val="single" w:sz="4" w:space="0" w:color="auto"/>
            </w:tcBorders>
          </w:tcPr>
          <w:p w:rsidR="00915E8A" w:rsidRPr="00203EA0" w:rsidRDefault="00915E8A" w:rsidP="00F51C52">
            <w:pPr>
              <w:widowControl/>
              <w:spacing w:line="360" w:lineRule="auto"/>
              <w:jc w:val="center"/>
              <w:rPr>
                <w:sz w:val="18"/>
                <w:szCs w:val="18"/>
              </w:rPr>
            </w:pPr>
            <w:r>
              <w:rPr>
                <w:sz w:val="18"/>
              </w:rPr>
              <w:t>8%</w:t>
            </w:r>
          </w:p>
        </w:tc>
      </w:tr>
      <w:tr w:rsidR="00915E8A" w:rsidRPr="00203EA0" w:rsidTr="005356DB">
        <w:tblPrEx>
          <w:tblCellMar>
            <w:top w:w="0" w:type="dxa"/>
            <w:bottom w:w="0" w:type="dxa"/>
          </w:tblCellMar>
        </w:tblPrEx>
        <w:tc>
          <w:tcPr>
            <w:tcW w:w="1163" w:type="dxa"/>
            <w:tcBorders>
              <w:top w:val="nil"/>
              <w:left w:val="single" w:sz="4" w:space="0" w:color="auto"/>
              <w:bottom w:val="nil"/>
              <w:right w:val="nil"/>
            </w:tcBorders>
          </w:tcPr>
          <w:p w:rsidR="00915E8A" w:rsidRPr="00203EA0" w:rsidRDefault="00915E8A" w:rsidP="00F51C52">
            <w:pPr>
              <w:widowControl/>
              <w:spacing w:line="360" w:lineRule="auto"/>
              <w:rPr>
                <w:sz w:val="18"/>
                <w:szCs w:val="18"/>
              </w:rPr>
            </w:pPr>
            <w:r>
              <w:rPr>
                <w:sz w:val="18"/>
              </w:rPr>
              <w:t>Menos de 80</w:t>
            </w:r>
          </w:p>
        </w:tc>
        <w:tc>
          <w:tcPr>
            <w:tcW w:w="1701" w:type="dxa"/>
            <w:tcBorders>
              <w:top w:val="nil"/>
              <w:left w:val="nil"/>
              <w:bottom w:val="single" w:sz="6" w:space="0" w:color="auto"/>
              <w:right w:val="nil"/>
            </w:tcBorders>
          </w:tcPr>
          <w:p w:rsidR="00915E8A" w:rsidRPr="00203EA0" w:rsidRDefault="00915E8A" w:rsidP="00F51C52">
            <w:pPr>
              <w:widowControl/>
              <w:spacing w:line="360" w:lineRule="auto"/>
              <w:jc w:val="right"/>
              <w:rPr>
                <w:sz w:val="18"/>
                <w:szCs w:val="18"/>
              </w:rPr>
            </w:pPr>
            <w:r>
              <w:rPr>
                <w:sz w:val="18"/>
              </w:rPr>
              <w:t>28,861,565</w:t>
            </w:r>
          </w:p>
        </w:tc>
        <w:tc>
          <w:tcPr>
            <w:tcW w:w="1843" w:type="dxa"/>
            <w:tcBorders>
              <w:top w:val="nil"/>
              <w:left w:val="nil"/>
              <w:bottom w:val="single" w:sz="6" w:space="0" w:color="auto"/>
              <w:right w:val="nil"/>
            </w:tcBorders>
          </w:tcPr>
          <w:p w:rsidR="00915E8A" w:rsidRPr="00203EA0" w:rsidRDefault="00915E8A" w:rsidP="00F51C52">
            <w:pPr>
              <w:widowControl/>
              <w:spacing w:line="360" w:lineRule="auto"/>
              <w:jc w:val="center"/>
              <w:rPr>
                <w:sz w:val="18"/>
                <w:szCs w:val="18"/>
              </w:rPr>
            </w:pPr>
            <w:r>
              <w:rPr>
                <w:sz w:val="18"/>
              </w:rPr>
              <w:t>17%</w:t>
            </w:r>
          </w:p>
        </w:tc>
        <w:tc>
          <w:tcPr>
            <w:tcW w:w="1276" w:type="dxa"/>
            <w:tcBorders>
              <w:top w:val="nil"/>
              <w:left w:val="nil"/>
              <w:bottom w:val="single" w:sz="6" w:space="0" w:color="auto"/>
              <w:right w:val="nil"/>
            </w:tcBorders>
          </w:tcPr>
          <w:p w:rsidR="00915E8A" w:rsidRPr="00203EA0" w:rsidRDefault="00915E8A" w:rsidP="00F51C52">
            <w:pPr>
              <w:widowControl/>
              <w:spacing w:line="360" w:lineRule="auto"/>
              <w:jc w:val="center"/>
              <w:rPr>
                <w:sz w:val="18"/>
                <w:szCs w:val="18"/>
              </w:rPr>
            </w:pPr>
            <w:r>
              <w:rPr>
                <w:sz w:val="18"/>
              </w:rPr>
              <w:t>82</w:t>
            </w:r>
          </w:p>
        </w:tc>
        <w:tc>
          <w:tcPr>
            <w:tcW w:w="1701" w:type="dxa"/>
            <w:tcBorders>
              <w:top w:val="nil"/>
              <w:left w:val="nil"/>
              <w:bottom w:val="single" w:sz="6" w:space="0" w:color="auto"/>
              <w:right w:val="single" w:sz="4" w:space="0" w:color="auto"/>
            </w:tcBorders>
          </w:tcPr>
          <w:p w:rsidR="00915E8A" w:rsidRPr="00203EA0" w:rsidRDefault="00915E8A" w:rsidP="00F51C52">
            <w:pPr>
              <w:widowControl/>
              <w:spacing w:line="360" w:lineRule="auto"/>
              <w:jc w:val="center"/>
              <w:rPr>
                <w:sz w:val="18"/>
                <w:szCs w:val="18"/>
              </w:rPr>
            </w:pPr>
            <w:r>
              <w:rPr>
                <w:sz w:val="18"/>
              </w:rPr>
              <w:t>56%</w:t>
            </w:r>
          </w:p>
        </w:tc>
      </w:tr>
      <w:tr w:rsidR="00915E8A" w:rsidRPr="00203EA0" w:rsidTr="005356DB">
        <w:tblPrEx>
          <w:tblCellMar>
            <w:top w:w="0" w:type="dxa"/>
            <w:bottom w:w="0" w:type="dxa"/>
          </w:tblCellMar>
        </w:tblPrEx>
        <w:tc>
          <w:tcPr>
            <w:tcW w:w="1163" w:type="dxa"/>
            <w:tcBorders>
              <w:top w:val="nil"/>
              <w:left w:val="single" w:sz="4" w:space="0" w:color="auto"/>
              <w:bottom w:val="nil"/>
              <w:right w:val="nil"/>
            </w:tcBorders>
          </w:tcPr>
          <w:p w:rsidR="00915E8A" w:rsidRPr="00203EA0" w:rsidRDefault="00915E8A" w:rsidP="00F51C52">
            <w:pPr>
              <w:widowControl/>
              <w:spacing w:line="360" w:lineRule="auto"/>
              <w:rPr>
                <w:sz w:val="18"/>
                <w:szCs w:val="18"/>
              </w:rPr>
            </w:pPr>
            <w:r>
              <w:rPr>
                <w:sz w:val="18"/>
              </w:rPr>
              <w:t>Total</w:t>
            </w:r>
          </w:p>
        </w:tc>
        <w:tc>
          <w:tcPr>
            <w:tcW w:w="1701" w:type="dxa"/>
            <w:tcBorders>
              <w:top w:val="single" w:sz="6" w:space="0" w:color="auto"/>
              <w:left w:val="nil"/>
              <w:bottom w:val="double" w:sz="4" w:space="0" w:color="auto"/>
              <w:right w:val="nil"/>
            </w:tcBorders>
          </w:tcPr>
          <w:p w:rsidR="00915E8A" w:rsidRPr="00203EA0" w:rsidRDefault="00915E8A" w:rsidP="00F51C52">
            <w:pPr>
              <w:widowControl/>
              <w:spacing w:line="360" w:lineRule="auto"/>
              <w:jc w:val="right"/>
              <w:rPr>
                <w:sz w:val="18"/>
                <w:szCs w:val="18"/>
              </w:rPr>
            </w:pPr>
            <w:r>
              <w:rPr>
                <w:sz w:val="18"/>
              </w:rPr>
              <w:t>$ 174,688,145</w:t>
            </w:r>
          </w:p>
        </w:tc>
        <w:tc>
          <w:tcPr>
            <w:tcW w:w="1843" w:type="dxa"/>
            <w:tcBorders>
              <w:top w:val="single" w:sz="6" w:space="0" w:color="auto"/>
              <w:left w:val="nil"/>
              <w:bottom w:val="double" w:sz="4" w:space="0" w:color="auto"/>
              <w:right w:val="nil"/>
            </w:tcBorders>
          </w:tcPr>
          <w:p w:rsidR="00915E8A" w:rsidRPr="00203EA0" w:rsidRDefault="00915E8A" w:rsidP="00F51C52">
            <w:pPr>
              <w:widowControl/>
              <w:spacing w:line="360" w:lineRule="auto"/>
              <w:jc w:val="center"/>
              <w:rPr>
                <w:sz w:val="18"/>
                <w:szCs w:val="18"/>
              </w:rPr>
            </w:pPr>
            <w:r>
              <w:rPr>
                <w:sz w:val="18"/>
              </w:rPr>
              <w:t>100%</w:t>
            </w:r>
          </w:p>
        </w:tc>
        <w:tc>
          <w:tcPr>
            <w:tcW w:w="1276" w:type="dxa"/>
            <w:tcBorders>
              <w:top w:val="single" w:sz="6" w:space="0" w:color="auto"/>
              <w:left w:val="nil"/>
              <w:bottom w:val="double" w:sz="4" w:space="0" w:color="auto"/>
              <w:right w:val="nil"/>
            </w:tcBorders>
          </w:tcPr>
          <w:p w:rsidR="00915E8A" w:rsidRPr="00203EA0" w:rsidRDefault="00915E8A" w:rsidP="00F51C52">
            <w:pPr>
              <w:widowControl/>
              <w:spacing w:line="360" w:lineRule="auto"/>
              <w:jc w:val="center"/>
              <w:rPr>
                <w:sz w:val="18"/>
                <w:szCs w:val="18"/>
              </w:rPr>
            </w:pPr>
            <w:r>
              <w:rPr>
                <w:sz w:val="18"/>
              </w:rPr>
              <w:t>147</w:t>
            </w:r>
          </w:p>
        </w:tc>
        <w:tc>
          <w:tcPr>
            <w:tcW w:w="1701" w:type="dxa"/>
            <w:tcBorders>
              <w:top w:val="single" w:sz="6" w:space="0" w:color="auto"/>
              <w:left w:val="nil"/>
              <w:bottom w:val="double" w:sz="4" w:space="0" w:color="auto"/>
              <w:right w:val="single" w:sz="4" w:space="0" w:color="auto"/>
            </w:tcBorders>
          </w:tcPr>
          <w:p w:rsidR="00915E8A" w:rsidRPr="00203EA0" w:rsidRDefault="00915E8A" w:rsidP="00F51C52">
            <w:pPr>
              <w:widowControl/>
              <w:spacing w:line="360" w:lineRule="auto"/>
              <w:jc w:val="center"/>
              <w:rPr>
                <w:sz w:val="18"/>
                <w:szCs w:val="18"/>
              </w:rPr>
            </w:pPr>
            <w:r>
              <w:rPr>
                <w:sz w:val="18"/>
              </w:rPr>
              <w:t>100%</w:t>
            </w:r>
          </w:p>
        </w:tc>
      </w:tr>
      <w:tr w:rsidR="00915E8A" w:rsidRPr="00203EA0" w:rsidTr="005356DB">
        <w:tblPrEx>
          <w:tblCellMar>
            <w:top w:w="0" w:type="dxa"/>
            <w:bottom w:w="0" w:type="dxa"/>
          </w:tblCellMar>
        </w:tblPrEx>
        <w:trPr>
          <w:trHeight w:val="126"/>
        </w:trPr>
        <w:tc>
          <w:tcPr>
            <w:tcW w:w="1163" w:type="dxa"/>
            <w:tcBorders>
              <w:top w:val="nil"/>
              <w:left w:val="single" w:sz="4" w:space="0" w:color="auto"/>
              <w:bottom w:val="single" w:sz="4" w:space="0" w:color="auto"/>
              <w:right w:val="nil"/>
            </w:tcBorders>
          </w:tcPr>
          <w:p w:rsidR="00915E8A" w:rsidRPr="00203EA0" w:rsidRDefault="00915E8A" w:rsidP="00F51C52">
            <w:pPr>
              <w:widowControl/>
              <w:spacing w:line="360" w:lineRule="auto"/>
              <w:rPr>
                <w:sz w:val="10"/>
                <w:szCs w:val="10"/>
              </w:rPr>
            </w:pPr>
          </w:p>
        </w:tc>
        <w:tc>
          <w:tcPr>
            <w:tcW w:w="1701" w:type="dxa"/>
            <w:tcBorders>
              <w:top w:val="double" w:sz="4" w:space="0" w:color="auto"/>
              <w:left w:val="nil"/>
              <w:bottom w:val="single" w:sz="4" w:space="0" w:color="auto"/>
              <w:right w:val="nil"/>
            </w:tcBorders>
          </w:tcPr>
          <w:p w:rsidR="00915E8A" w:rsidRPr="00203EA0" w:rsidRDefault="00915E8A" w:rsidP="00F51C52">
            <w:pPr>
              <w:widowControl/>
              <w:spacing w:line="360" w:lineRule="auto"/>
              <w:rPr>
                <w:sz w:val="10"/>
                <w:szCs w:val="10"/>
              </w:rPr>
            </w:pPr>
          </w:p>
        </w:tc>
        <w:tc>
          <w:tcPr>
            <w:tcW w:w="1843" w:type="dxa"/>
            <w:tcBorders>
              <w:top w:val="double" w:sz="4" w:space="0" w:color="auto"/>
              <w:left w:val="nil"/>
              <w:bottom w:val="single" w:sz="4" w:space="0" w:color="auto"/>
              <w:right w:val="nil"/>
            </w:tcBorders>
          </w:tcPr>
          <w:p w:rsidR="00915E8A" w:rsidRPr="00203EA0" w:rsidRDefault="00915E8A" w:rsidP="00F51C52">
            <w:pPr>
              <w:widowControl/>
              <w:spacing w:line="360" w:lineRule="auto"/>
              <w:rPr>
                <w:sz w:val="10"/>
                <w:szCs w:val="10"/>
              </w:rPr>
            </w:pPr>
          </w:p>
        </w:tc>
        <w:tc>
          <w:tcPr>
            <w:tcW w:w="1276" w:type="dxa"/>
            <w:tcBorders>
              <w:top w:val="double" w:sz="4" w:space="0" w:color="auto"/>
              <w:left w:val="nil"/>
              <w:bottom w:val="single" w:sz="4" w:space="0" w:color="auto"/>
              <w:right w:val="nil"/>
            </w:tcBorders>
          </w:tcPr>
          <w:p w:rsidR="00915E8A" w:rsidRPr="00203EA0" w:rsidRDefault="00915E8A" w:rsidP="00F51C52">
            <w:pPr>
              <w:widowControl/>
              <w:spacing w:line="360" w:lineRule="auto"/>
              <w:rPr>
                <w:sz w:val="10"/>
                <w:szCs w:val="10"/>
              </w:rPr>
            </w:pPr>
          </w:p>
        </w:tc>
        <w:tc>
          <w:tcPr>
            <w:tcW w:w="1701" w:type="dxa"/>
            <w:tcBorders>
              <w:top w:val="double" w:sz="4" w:space="0" w:color="auto"/>
              <w:left w:val="nil"/>
              <w:bottom w:val="single" w:sz="4" w:space="0" w:color="auto"/>
              <w:right w:val="single" w:sz="4" w:space="0" w:color="auto"/>
            </w:tcBorders>
          </w:tcPr>
          <w:p w:rsidR="00915E8A" w:rsidRPr="00203EA0" w:rsidRDefault="00915E8A" w:rsidP="00F51C52">
            <w:pPr>
              <w:widowControl/>
              <w:spacing w:line="360" w:lineRule="auto"/>
              <w:rPr>
                <w:sz w:val="10"/>
                <w:szCs w:val="10"/>
              </w:rPr>
            </w:pPr>
          </w:p>
        </w:tc>
      </w:tr>
    </w:tbl>
    <w:p w:rsidR="00915E8A" w:rsidRDefault="00915E8A" w:rsidP="00F51C52">
      <w:pPr>
        <w:widowControl/>
        <w:spacing w:line="360" w:lineRule="auto"/>
        <w:rPr>
          <w:sz w:val="22"/>
          <w:szCs w:val="22"/>
        </w:rPr>
      </w:pPr>
    </w:p>
    <w:p w:rsidR="00915E8A" w:rsidRPr="00A930E4" w:rsidRDefault="00915E8A" w:rsidP="00F51C52">
      <w:pPr>
        <w:keepNext/>
        <w:widowControl/>
        <w:spacing w:line="480" w:lineRule="auto"/>
        <w:rPr>
          <w:b/>
          <w:sz w:val="22"/>
          <w:szCs w:val="22"/>
        </w:rPr>
      </w:pPr>
      <w:r w:rsidRPr="00A930E4">
        <w:rPr>
          <w:b/>
          <w:sz w:val="22"/>
          <w:szCs w:val="22"/>
        </w:rPr>
        <w:t xml:space="preserve">ESTATUS DE LA DISTRIBUCIÓN A LOS ACREEDORES </w:t>
      </w:r>
    </w:p>
    <w:p w:rsidR="00915E8A" w:rsidRPr="00A930E4" w:rsidRDefault="00915E8A" w:rsidP="00F51C52">
      <w:pPr>
        <w:keepNext/>
        <w:widowControl/>
        <w:spacing w:line="480" w:lineRule="auto"/>
        <w:rPr>
          <w:b/>
          <w:i/>
          <w:sz w:val="22"/>
          <w:szCs w:val="22"/>
        </w:rPr>
      </w:pPr>
      <w:r w:rsidRPr="00A930E4">
        <w:rPr>
          <w:b/>
          <w:i/>
          <w:sz w:val="22"/>
          <w:szCs w:val="22"/>
        </w:rPr>
        <w:t>Condiciones para una distribución a los Acreedores</w:t>
      </w:r>
    </w:p>
    <w:p w:rsidR="00915E8A" w:rsidRPr="00A930E4" w:rsidRDefault="00915E8A" w:rsidP="00F51C52">
      <w:pPr>
        <w:keepNext/>
        <w:widowControl/>
        <w:numPr>
          <w:ilvl w:val="0"/>
          <w:numId w:val="43"/>
        </w:numPr>
        <w:tabs>
          <w:tab w:val="clear" w:pos="360"/>
          <w:tab w:val="num" w:pos="567"/>
        </w:tabs>
        <w:spacing w:line="360" w:lineRule="auto"/>
        <w:ind w:left="567" w:hanging="567"/>
        <w:rPr>
          <w:sz w:val="22"/>
          <w:szCs w:val="22"/>
        </w:rPr>
      </w:pPr>
      <w:r w:rsidRPr="00A930E4">
        <w:rPr>
          <w:sz w:val="22"/>
          <w:szCs w:val="22"/>
        </w:rPr>
        <w:t>El pago de una distribución a los Acreedores está sujeto a las condiciones establecidas en el Plan, que son:</w:t>
      </w:r>
    </w:p>
    <w:p w:rsidR="00915E8A" w:rsidRPr="00A930E4" w:rsidRDefault="00915E8A" w:rsidP="00F51C52">
      <w:pPr>
        <w:widowControl/>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debe haber fondos suficientes disponibles para su distribución, tal como se describe con más detalle en este documento;</w:t>
      </w:r>
    </w:p>
    <w:p w:rsidR="00915E8A" w:rsidRPr="00A930E4" w:rsidRDefault="00915E8A" w:rsidP="00F51C52">
      <w:pPr>
        <w:widowControl/>
        <w:ind w:left="207"/>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las obligaciones tributarias pendientes que se deben pagar a partir de la Cuenta de fideicomiso supervisada se deben pagar, o reservar, antes de realizar una distribución a los Acreedores;</w:t>
      </w:r>
    </w:p>
    <w:p w:rsidR="00915E8A" w:rsidRPr="00A930E4" w:rsidRDefault="00915E8A" w:rsidP="00F51C52">
      <w:pPr>
        <w:widowControl/>
        <w:ind w:left="207"/>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las cuestiones pendientes en disputa se pueden considerar antes de permitir realizar una distribución a los Acreedores; y</w:t>
      </w:r>
    </w:p>
    <w:p w:rsidR="00915E8A" w:rsidRPr="00A930E4" w:rsidRDefault="00915E8A" w:rsidP="00F51C52">
      <w:pPr>
        <w:widowControl/>
        <w:ind w:left="207"/>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el Supervisor debe estar de acuerdo con que se han cumplido todas las condiciones antes de aprobar una distribución a los Acreedores.</w:t>
      </w:r>
    </w:p>
    <w:p w:rsidR="00915E8A" w:rsidRPr="00A930E4" w:rsidRDefault="00915E8A" w:rsidP="00F51C52">
      <w:pPr>
        <w:widowControl/>
        <w:spacing w:line="360" w:lineRule="auto"/>
        <w:rPr>
          <w:sz w:val="22"/>
          <w:szCs w:val="22"/>
        </w:rPr>
      </w:pPr>
    </w:p>
    <w:p w:rsidR="00915E8A" w:rsidRPr="00A930E4" w:rsidRDefault="00915E8A" w:rsidP="00F51C52">
      <w:pPr>
        <w:widowControl/>
        <w:spacing w:line="360" w:lineRule="auto"/>
        <w:rPr>
          <w:sz w:val="22"/>
          <w:szCs w:val="22"/>
        </w:rPr>
      </w:pPr>
      <w:r w:rsidRPr="00A930E4">
        <w:rPr>
          <w:sz w:val="22"/>
          <w:szCs w:val="22"/>
        </w:rPr>
        <w:lastRenderedPageBreak/>
        <w:t>Tal como se describe en mayor detalle más adelante, hasta la fecha no se han cumplido las condiciones descritas anteriormente y, en consecuencia, en este momento no se puede realizar una distribución a los Acreedores.</w:t>
      </w:r>
    </w:p>
    <w:p w:rsidR="00915E8A" w:rsidRPr="00A930E4" w:rsidRDefault="00915E8A" w:rsidP="00F51C52">
      <w:pPr>
        <w:widowControl/>
        <w:spacing w:line="360" w:lineRule="auto"/>
        <w:rPr>
          <w:sz w:val="22"/>
          <w:szCs w:val="22"/>
        </w:rPr>
      </w:pPr>
    </w:p>
    <w:p w:rsidR="00915E8A" w:rsidRPr="00A930E4" w:rsidRDefault="00915E8A" w:rsidP="00F51C52">
      <w:pPr>
        <w:widowControl/>
        <w:spacing w:line="480" w:lineRule="auto"/>
        <w:rPr>
          <w:b/>
          <w:i/>
          <w:sz w:val="22"/>
          <w:szCs w:val="22"/>
        </w:rPr>
      </w:pPr>
      <w:r w:rsidRPr="00A930E4">
        <w:rPr>
          <w:b/>
          <w:i/>
          <w:sz w:val="22"/>
          <w:szCs w:val="22"/>
        </w:rPr>
        <w:t>Cálculo de la Reserva para costos</w:t>
      </w: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Tal como se describió anteriormente, la Reserva para costos es un monto que se calcula para determinar si hay suficientes fondos disponibles en la Cuenta de fideicomiso supervisada con el fin de realizar una distribución a los Acreedores. El cálculo de la Reserva para costos se basa en la Previsión de USI, que estima los Costos que se prevé pagar a partir de la Cuenta de fideicomiso supervisada durante el siguiente período de dos años. Se adjunta como </w:t>
      </w:r>
      <w:r w:rsidRPr="00A930E4">
        <w:rPr>
          <w:b/>
          <w:sz w:val="22"/>
          <w:szCs w:val="22"/>
        </w:rPr>
        <w:t>Apéndice “D”</w:t>
      </w:r>
      <w:r w:rsidRPr="00A930E4">
        <w:rPr>
          <w:sz w:val="22"/>
          <w:szCs w:val="22"/>
        </w:rPr>
        <w:t xml:space="preserve"> la Previsión de USI para el período que va del 1 de octubre de 2010 al 30 de septiembre de 2012 </w:t>
      </w:r>
      <w:r w:rsidRPr="00A930E4">
        <w:rPr>
          <w:b/>
          <w:sz w:val="22"/>
          <w:szCs w:val="22"/>
        </w:rPr>
        <w:t>(“Período de la Previsión”).</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La Previsión de USI muestra primas de pólizas, gastos administrativos y gastos de reestructuración por un total de aproximadamente $16.8 millones para el Período de la Previsión, lo que representa el monto de la Reserva para costos que se requieren al 30 de septiembre de 2010, suponiendo que no se produzca ningún vencimiento durante el Período de la Previsión.</w:t>
      </w:r>
    </w:p>
    <w:p w:rsidR="00915E8A" w:rsidRPr="00A930E4" w:rsidRDefault="00915E8A" w:rsidP="00F51C52">
      <w:pPr>
        <w:widowControl/>
        <w:spacing w:line="360" w:lineRule="auto"/>
        <w:rPr>
          <w:sz w:val="22"/>
          <w:szCs w:val="22"/>
        </w:rPr>
      </w:pPr>
    </w:p>
    <w:p w:rsidR="00915E8A" w:rsidRPr="00A930E4" w:rsidRDefault="00915E8A" w:rsidP="00F51C52">
      <w:pPr>
        <w:widowControl/>
        <w:spacing w:line="480" w:lineRule="auto"/>
        <w:rPr>
          <w:b/>
          <w:i/>
          <w:sz w:val="22"/>
          <w:szCs w:val="22"/>
        </w:rPr>
      </w:pPr>
      <w:r w:rsidRPr="00A930E4">
        <w:rPr>
          <w:b/>
          <w:i/>
          <w:sz w:val="22"/>
          <w:szCs w:val="22"/>
        </w:rPr>
        <w:t>Préstamos de póliza pendientes</w:t>
      </w: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Además, tal como se describe en los informes anteriores presentados a este Tribunal, USI obtuvo préstamos de póliza (los </w:t>
      </w:r>
      <w:r w:rsidRPr="00A930E4">
        <w:rPr>
          <w:b/>
          <w:sz w:val="22"/>
          <w:szCs w:val="22"/>
        </w:rPr>
        <w:t>“Préstamos de póliza”)</w:t>
      </w:r>
      <w:r w:rsidRPr="00A930E4">
        <w:rPr>
          <w:sz w:val="22"/>
          <w:szCs w:val="22"/>
        </w:rPr>
        <w:t xml:space="preserve"> para financiar las primas de las pólizas y los costos de operación antes de la Implementación del Plan. Antes de que se pueda realizar alguna distribución a los Acreedores, se deben pagar todos los Préstamos de póliza pendientes. En la actualidad, existen aproximadamente US$2.0 millones en Préstamos de póliza pendientes, incluyendo intereses devengados de aproximadamente US$187,000 calculados según tasas de interés que van aproximadamente del 5% al 8%. Los intereses devengados se compensan contra las indemnizaciones por muerte de las Pólizas y por lo tanto no se pagan a partir de la Cuenta de fideicomiso supervisada. USI ha informado al Supervisor que no tiene intención de pagar los Préstamos de póliza hasta que hayan fondos suficientes en la Cuenta de fideicomiso supervisada por encima del monto de la Reserva para costos para justificar el pago, a fin de preservar los fondos para seguir pagando las primas y otros Costos.</w:t>
      </w:r>
    </w:p>
    <w:p w:rsidR="00915E8A" w:rsidRPr="00A930E4" w:rsidRDefault="00915E8A" w:rsidP="00F51C52">
      <w:pPr>
        <w:widowControl/>
        <w:spacing w:line="360" w:lineRule="auto"/>
        <w:rPr>
          <w:sz w:val="22"/>
          <w:szCs w:val="22"/>
        </w:rPr>
      </w:pPr>
    </w:p>
    <w:p w:rsidR="00915E8A" w:rsidRPr="00A930E4" w:rsidRDefault="00915E8A" w:rsidP="00F51C52">
      <w:pPr>
        <w:keepNext/>
        <w:widowControl/>
        <w:spacing w:line="480" w:lineRule="auto"/>
        <w:rPr>
          <w:b/>
          <w:i/>
          <w:sz w:val="22"/>
          <w:szCs w:val="22"/>
        </w:rPr>
      </w:pPr>
      <w:r w:rsidRPr="00A930E4">
        <w:rPr>
          <w:b/>
          <w:i/>
          <w:sz w:val="22"/>
          <w:szCs w:val="22"/>
        </w:rPr>
        <w:lastRenderedPageBreak/>
        <w:t>Cálculo de si hay fondos disponibles para su distribución</w:t>
      </w: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Tal como se señaló anteriormente, no se puede realizar ninguna distribución a los Acreedores hasta que el monto en la Cuenta de fideicomiso supervisada sea igual o mayor al monto total calculado para la Reserva para costos ($16.8 millones al 30 de septiembre de 2010), más $5.0 millones, y sólo se puede realizar una vez que se haya pagado todos los Préstamos de póliza. De conformidad con el Plan, una vez que se cumpla con estas condiciones, y con cualesquiera otras mencionadas en el párrafo 23, los fondos por encima del monto calculado como la Reserva para costos se pueden distribuir a los Acreedores.</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Como se indicó anteriormente, el 30 de septiembre de 2010 habían $10.5 millones en depósito en la Cuenta de fideicomiso supervisada. La Previsión de USI calcula un monto de $16.8 millones como la Reserva para costos para el Período de la Previsión. En este momento hay $2.0 millones de Préstamos de póliza pendientes.</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Al 30 de septiembre de 2010, se requería un mínimo de $23.8 </w:t>
      </w:r>
      <w:r w:rsidR="00F364F3">
        <w:rPr>
          <w:sz w:val="22"/>
          <w:szCs w:val="22"/>
        </w:rPr>
        <w:t>millones ($16.8 millones + $2.0 </w:t>
      </w:r>
      <w:r w:rsidRPr="00A930E4">
        <w:rPr>
          <w:sz w:val="22"/>
          <w:szCs w:val="22"/>
        </w:rPr>
        <w:t>millones + $5.0 millones) en la Cuenta de fideicomiso supervisada para poder realizar una distribución a los Acreedores. Sólo habían $10.5 millones en depósito en esa fecha. Desde el 30 de septiembre de 2010, el último Período de la Previsión, se habían vencido otras dos pólizas, por un total de aproximadamente $125,000 en indemnizaciones por muerte. Los Fideicomisarios están actualmente en proceso de cobrar estos montos. Sin embargo, incluso después de cobrar los montos correspondientes a estos vencimientos, no habrá suficientes fondos en depósito para que USI realice una distribución a los Acreedores, de conformidad con los términos del Plan.</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Si bien USI aún no ha podido realizar una distribución a los Acreedores, el Supervisor y USI seguirán monitoreando las realizaciones en la Cuenta de fideicomiso supervisada a fin de determinar el momento adecuado para una distribución de acuerdo con el Plan. Tal como se señaló anteriormente, USI también está considerando las opciones disponibles en caso de que se considere necesario recaudar fondos adicionales y conservar el efectivo con el fin de poder seguir realizando los gastos de primas después de marzo de 2012.</w:t>
      </w:r>
    </w:p>
    <w:p w:rsidR="00915E8A" w:rsidRPr="00A930E4" w:rsidRDefault="00915E8A" w:rsidP="00F51C52">
      <w:pPr>
        <w:widowControl/>
        <w:spacing w:line="360" w:lineRule="auto"/>
        <w:rPr>
          <w:sz w:val="22"/>
          <w:szCs w:val="22"/>
        </w:rPr>
      </w:pPr>
    </w:p>
    <w:p w:rsidR="00915E8A" w:rsidRPr="00A930E4" w:rsidRDefault="00915E8A" w:rsidP="00F51C52">
      <w:pPr>
        <w:keepNext/>
        <w:widowControl/>
        <w:spacing w:line="480" w:lineRule="auto"/>
        <w:rPr>
          <w:b/>
          <w:sz w:val="22"/>
          <w:szCs w:val="22"/>
        </w:rPr>
      </w:pPr>
      <w:r w:rsidRPr="00A930E4">
        <w:rPr>
          <w:b/>
          <w:sz w:val="22"/>
          <w:szCs w:val="22"/>
        </w:rPr>
        <w:lastRenderedPageBreak/>
        <w:t>ACTUALIZACIÓN SOBRE LAS VERIFICACIONES DE COBERTURA DE PÓLIZAS DEL 2010</w:t>
      </w:r>
    </w:p>
    <w:p w:rsidR="00915E8A" w:rsidRPr="00A930E4" w:rsidRDefault="00915E8A" w:rsidP="00F51C52">
      <w:pPr>
        <w:keepNext/>
        <w:widowControl/>
        <w:numPr>
          <w:ilvl w:val="0"/>
          <w:numId w:val="43"/>
        </w:numPr>
        <w:tabs>
          <w:tab w:val="clear" w:pos="360"/>
          <w:tab w:val="num" w:pos="567"/>
        </w:tabs>
        <w:spacing w:line="360" w:lineRule="auto"/>
        <w:ind w:left="567" w:hanging="567"/>
        <w:rPr>
          <w:sz w:val="22"/>
          <w:szCs w:val="22"/>
        </w:rPr>
      </w:pPr>
      <w:r w:rsidRPr="00A930E4">
        <w:rPr>
          <w:sz w:val="22"/>
          <w:szCs w:val="22"/>
        </w:rPr>
        <w:t>Tal como se describe en el Segundo y Séptimo Informes, con el fin de que USI determine si los datos de sus registros relativos a su portafolio de pólizas son precisos, ha emprendido una revisión de sus pólizas, revisión que incluía solicitar a los aseguradores verificaciones de las Pólizas y revisar los estados anuales que recibe de los aseguradores (conjuntamente, las “</w:t>
      </w:r>
      <w:r w:rsidRPr="00A930E4">
        <w:rPr>
          <w:b/>
          <w:sz w:val="22"/>
          <w:szCs w:val="22"/>
        </w:rPr>
        <w:t>Verificaciones</w:t>
      </w:r>
      <w:r w:rsidRPr="00A930E4">
        <w:rPr>
          <w:sz w:val="22"/>
          <w:szCs w:val="22"/>
        </w:rPr>
        <w:t>”). Los párrafos 37 a 62 del Séptimo Informe proporcionaron un análisis detallado de las pólizas de USI y su estatus según las Verificaciones del 2009 obtenidas por USI.</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El Contrato de cuenta supervisada requiere que USI solicite anualmente Verificaciones a las compañías de seguros. Durante el 2010, USI solicitó Verificaciones a los aseguradores para todas las 147 Pólizas restantes que todavía no se han vencido y están incluidas en el Plan. USI empezó a recibir Verificaciones de los aseguradores en enero de 2010, las que incluían información verificada a enero de 2010 o después. Al 30 de septiemb</w:t>
      </w:r>
      <w:r w:rsidR="00F364F3">
        <w:rPr>
          <w:sz w:val="22"/>
          <w:szCs w:val="22"/>
        </w:rPr>
        <w:t>re de 2010, USI ha recibido 144 </w:t>
      </w:r>
      <w:r w:rsidRPr="00A930E4">
        <w:rPr>
          <w:sz w:val="22"/>
          <w:szCs w:val="22"/>
        </w:rPr>
        <w:t>Verificaciones de los aseguradores. USI ha continuado realizando esfuerzos para obtener Verificaciones de los otros tres aseguradores de los que no ha recibido Verificaciones. Sin embargo, tal como se describe en el Séptimo Informe, en algunos casos USI no es el titular de la póliza y, por lo tanto, debe contar con la cooperación del titular de la póliza para que éste solicite la Verificación en su nombre. En algunos casos puede ser que no sea posible obtener la cooperación del titular. Hasta la fecha, USI no ha recibido tres Verificaciones que se refieren a las pólizas colectivas administradas por Page &amp; Associates en nombre de USI, que ascienden a unos $549,000 en indemnizaciones por muerte. Page &amp; Associates ha solicitado Verificaciones de estas tres pólizas en nombre de USI.</w:t>
      </w:r>
    </w:p>
    <w:p w:rsidR="00915E8A" w:rsidRPr="00A930E4" w:rsidRDefault="00915E8A" w:rsidP="00F51C52">
      <w:pPr>
        <w:widowControl/>
        <w:spacing w:line="360" w:lineRule="auto"/>
        <w:rPr>
          <w:sz w:val="22"/>
          <w:szCs w:val="22"/>
        </w:rPr>
      </w:pPr>
    </w:p>
    <w:p w:rsidR="00915E8A" w:rsidRPr="00A930E4" w:rsidRDefault="00915E8A" w:rsidP="00F51C52">
      <w:pPr>
        <w:widowControl/>
        <w:spacing w:line="480" w:lineRule="auto"/>
        <w:rPr>
          <w:b/>
          <w:i/>
          <w:sz w:val="22"/>
          <w:szCs w:val="22"/>
        </w:rPr>
      </w:pPr>
      <w:r w:rsidRPr="00A930E4">
        <w:rPr>
          <w:b/>
          <w:i/>
          <w:sz w:val="22"/>
          <w:szCs w:val="22"/>
        </w:rPr>
        <w:t>Póliza incluida incorrectamente en los activos</w:t>
      </w: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En julio de 2010, mientras llevaba a cabo su proceso mensual de seguimiento de pólizas para determinar si alguna se había vencido, USI identificó que la póliza M.E. 294, con una indemnización por muerte de $25,000, se había vencido. USI informó al Supervisor que la Póliza M.E. 294 originalmente formó parte del portafolio de pólizas Priority Pharmacy, Inc. (</w:t>
      </w:r>
      <w:r w:rsidRPr="00A930E4">
        <w:rPr>
          <w:b/>
          <w:sz w:val="22"/>
          <w:szCs w:val="22"/>
        </w:rPr>
        <w:t>“Priority”</w:t>
      </w:r>
      <w:r w:rsidRPr="00A930E4">
        <w:rPr>
          <w:sz w:val="22"/>
          <w:szCs w:val="22"/>
        </w:rPr>
        <w:t xml:space="preserve">) que USI compró en 2002 para su portafolio corporativo (que no está en manos de inversionistas). La compra del portafolio Priority se describe en el Segundo Informe del Supervisor al Tribunal. USI procedió a presentar la reclamación de indemnización por muerte al asegurador como beneficiario de la póliza. El 20 de agosto de 2010, USI recibió una carta del asegurador en la que </w:t>
      </w:r>
      <w:r w:rsidRPr="00A930E4">
        <w:rPr>
          <w:sz w:val="22"/>
          <w:szCs w:val="22"/>
        </w:rPr>
        <w:lastRenderedPageBreak/>
        <w:t>desestimó su reclamación de indemnización por muerte e indicó que USI no era el beneficiario de la póliza M.E. 294.</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480" w:lineRule="auto"/>
        <w:ind w:left="567" w:hanging="567"/>
        <w:rPr>
          <w:sz w:val="22"/>
          <w:szCs w:val="22"/>
        </w:rPr>
      </w:pPr>
      <w:r w:rsidRPr="00A930E4">
        <w:rPr>
          <w:sz w:val="22"/>
          <w:szCs w:val="22"/>
        </w:rPr>
        <w:t>USI procedió a investigar el asunto y encontró que:</w:t>
      </w: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la aseguradora confirmó el 15 de noviembre de 2002 en una carta a USI que el derecho de usufructo en la póliza de seguro de vida básica había sido asignado a USI, pero no así la póliza de seguro de vida opcional que estaba en vigor en la fecha de fallecimiento del asegurado, y en consecuencia realizó el pago de conformidad con la más reciente designación de beneficiarios sólo en la póliza de seguro de vida opcional, pues la póliza de seguro de vida básica no tiene ningún valor;</w:t>
      </w:r>
    </w:p>
    <w:p w:rsidR="00915E8A" w:rsidRPr="00A930E4" w:rsidRDefault="00915E8A" w:rsidP="00F51C52">
      <w:pPr>
        <w:widowControl/>
        <w:ind w:left="207"/>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en el momento de la compra del portafolio Priority, Mills, el agente del depósito en garantía de USI, realizó la debida diligencia con respecto a cada póliza antes de liberar el precio de pago para dicha póliza al vendedor del portafolio Priority en nombre de USI. En el caso de la póliza M.E. 294, Mills no pudo completar su debida diligencia pues la póliza era una póliza colectiva y requería el consentimiento del empleador para la cesión, la que nunca se recibió y, además, Mills no pudo confirmar si la póliza todavía estaba activa;</w:t>
      </w:r>
    </w:p>
    <w:p w:rsidR="00915E8A" w:rsidRPr="00A930E4" w:rsidRDefault="00915E8A" w:rsidP="00F51C52">
      <w:pPr>
        <w:widowControl/>
        <w:ind w:left="207"/>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no se pagó ninguna prima de póliza con respecto a esta póliza ya que Mills nunca confirmó la transferencia de propiedad a USI. Sin embargo, USI incluyó por error esta póliza en la lista de pólizas de su propiedad, y</w:t>
      </w:r>
    </w:p>
    <w:p w:rsidR="00915E8A" w:rsidRPr="00A930E4" w:rsidRDefault="00915E8A" w:rsidP="00F51C52">
      <w:pPr>
        <w:widowControl/>
        <w:ind w:left="207"/>
        <w:rPr>
          <w:sz w:val="22"/>
          <w:szCs w:val="22"/>
        </w:rPr>
      </w:pPr>
    </w:p>
    <w:p w:rsidR="00915E8A" w:rsidRPr="00A930E4" w:rsidRDefault="00915E8A" w:rsidP="00F51C52">
      <w:pPr>
        <w:widowControl/>
        <w:numPr>
          <w:ilvl w:val="2"/>
          <w:numId w:val="43"/>
        </w:numPr>
        <w:spacing w:line="360" w:lineRule="auto"/>
        <w:ind w:hanging="513"/>
        <w:rPr>
          <w:sz w:val="22"/>
          <w:szCs w:val="22"/>
        </w:rPr>
      </w:pPr>
      <w:r w:rsidRPr="00A930E4">
        <w:rPr>
          <w:sz w:val="22"/>
          <w:szCs w:val="22"/>
        </w:rPr>
        <w:t>el precio de compra mantenido por Mills en el depósito en garantía con respecto a la compra de esta póliza nunca se liberó al vendedor y se depositó en la Cuenta de fideicomiso supervisada en el momento de la Implementación del Plan junto con los otros fondos mantenidos por Mills en nombre de USI.</w:t>
      </w:r>
    </w:p>
    <w:p w:rsidR="00915E8A" w:rsidRPr="00A930E4" w:rsidRDefault="00915E8A" w:rsidP="00F51C52">
      <w:pPr>
        <w:widowControl/>
        <w:ind w:left="567"/>
        <w:rPr>
          <w:sz w:val="22"/>
          <w:szCs w:val="22"/>
        </w:rPr>
      </w:pPr>
    </w:p>
    <w:p w:rsidR="00915E8A" w:rsidRPr="00A930E4" w:rsidRDefault="00915E8A" w:rsidP="00F51C52">
      <w:pPr>
        <w:widowControl/>
        <w:spacing w:line="360" w:lineRule="auto"/>
        <w:ind w:left="567"/>
        <w:rPr>
          <w:sz w:val="22"/>
          <w:szCs w:val="22"/>
        </w:rPr>
      </w:pPr>
      <w:r w:rsidRPr="00A930E4">
        <w:rPr>
          <w:sz w:val="22"/>
          <w:szCs w:val="22"/>
        </w:rPr>
        <w:t>Como resultado de ello, parece que la póliza M.E. 294 nunca fue transferida a USI, USI no pagó ningún monto por esta póliza, USI no pagó ninguna prima ni tampoco se pagó ninguna prima a partir de la Cuenta de fideicomiso supervisada con respecto a esta póliza. Por consiguiente, no hubo ningún costo para las partes interesadas de USI con respecto a esta póliza.</w:t>
      </w:r>
    </w:p>
    <w:p w:rsidR="00915E8A" w:rsidRPr="00A930E4" w:rsidRDefault="00915E8A" w:rsidP="00F51C52">
      <w:pPr>
        <w:widowControl/>
        <w:spacing w:line="360" w:lineRule="auto"/>
        <w:rPr>
          <w:sz w:val="22"/>
          <w:szCs w:val="22"/>
        </w:rPr>
      </w:pPr>
    </w:p>
    <w:p w:rsidR="00915E8A" w:rsidRPr="00A930E4" w:rsidRDefault="00915E8A" w:rsidP="00F51C52">
      <w:pPr>
        <w:widowControl/>
        <w:spacing w:line="360" w:lineRule="auto"/>
        <w:rPr>
          <w:sz w:val="22"/>
          <w:szCs w:val="22"/>
        </w:rPr>
      </w:pPr>
    </w:p>
    <w:p w:rsidR="00915E8A" w:rsidRPr="00A930E4" w:rsidRDefault="00915E8A" w:rsidP="00F51C52">
      <w:pPr>
        <w:keepNext/>
        <w:widowControl/>
        <w:spacing w:line="480" w:lineRule="auto"/>
        <w:rPr>
          <w:b/>
          <w:i/>
          <w:sz w:val="22"/>
          <w:szCs w:val="22"/>
        </w:rPr>
      </w:pPr>
      <w:r w:rsidRPr="00A930E4">
        <w:rPr>
          <w:b/>
          <w:i/>
          <w:sz w:val="22"/>
          <w:szCs w:val="22"/>
        </w:rPr>
        <w:lastRenderedPageBreak/>
        <w:t xml:space="preserve">Revisión </w:t>
      </w:r>
      <w:proofErr w:type="gramStart"/>
      <w:r w:rsidRPr="00A930E4">
        <w:rPr>
          <w:b/>
          <w:i/>
          <w:sz w:val="22"/>
          <w:szCs w:val="22"/>
        </w:rPr>
        <w:t>continua</w:t>
      </w:r>
      <w:proofErr w:type="gramEnd"/>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El Supervisor ha solicitado que USI realice una revisión detallada del estatus de todas las Pólizas y de las Verificaciones del 2010 que se han recibido y que haga un seguimiento a las Verificaciones del 2010 que no se han recibido hasta el momento, con el fin de garantizar que todas las pólizas se mantengan al día. USI ha completado su revisión de las Verificaciones del 2010 y ha señalado que las Pólizas restantes se encuentran al día, y que está a la espera de las Verificaciones de las tres pólizas restantes para confirmar lo mismo.</w:t>
      </w:r>
    </w:p>
    <w:p w:rsidR="00915E8A" w:rsidRPr="00A930E4" w:rsidRDefault="00915E8A" w:rsidP="00F51C52">
      <w:pPr>
        <w:widowControl/>
        <w:spacing w:line="360" w:lineRule="auto"/>
        <w:rPr>
          <w:sz w:val="22"/>
          <w:szCs w:val="22"/>
        </w:rPr>
      </w:pPr>
    </w:p>
    <w:p w:rsidR="00915E8A" w:rsidRPr="00A930E4" w:rsidRDefault="00915E8A" w:rsidP="00F51C52">
      <w:pPr>
        <w:widowControl/>
        <w:spacing w:line="480" w:lineRule="auto"/>
        <w:rPr>
          <w:b/>
          <w:sz w:val="22"/>
          <w:szCs w:val="22"/>
        </w:rPr>
      </w:pPr>
      <w:r w:rsidRPr="00A930E4">
        <w:rPr>
          <w:b/>
          <w:sz w:val="22"/>
          <w:szCs w:val="22"/>
        </w:rPr>
        <w:t>ESTATUS DE LOS LITIGIOS Y DE LA CONTRIBUCIÓN PARA LITIGIOS</w:t>
      </w: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Tal como se describió en el transcurso de los Procedimientos según la CCAA, en la fecha de inicio de los Procedimientos según la CCAA, USI estaba involucrado </w:t>
      </w:r>
      <w:r w:rsidR="00F364F3">
        <w:rPr>
          <w:sz w:val="22"/>
          <w:szCs w:val="22"/>
        </w:rPr>
        <w:t>en litigio en dos acciones: (1) </w:t>
      </w:r>
      <w:r w:rsidRPr="00A930E4">
        <w:rPr>
          <w:sz w:val="22"/>
          <w:szCs w:val="22"/>
        </w:rPr>
        <w:t xml:space="preserve">Universal Settlements International Inc. contra Antonio Duscio (la </w:t>
      </w:r>
      <w:r w:rsidRPr="00A930E4">
        <w:rPr>
          <w:b/>
          <w:sz w:val="22"/>
          <w:szCs w:val="22"/>
        </w:rPr>
        <w:t>“Demanda Duscio”);</w:t>
      </w:r>
      <w:r w:rsidR="00F364F3">
        <w:rPr>
          <w:sz w:val="22"/>
          <w:szCs w:val="22"/>
        </w:rPr>
        <w:t xml:space="preserve"> y (2) </w:t>
      </w:r>
      <w:r w:rsidRPr="00A930E4">
        <w:rPr>
          <w:sz w:val="22"/>
          <w:szCs w:val="22"/>
        </w:rPr>
        <w:t xml:space="preserve">una demanda emitida en los Estados Unidos titulada Universal Settlements International Inc. contra James Torchia, Marc Celello y National Viatical Inc. (la </w:t>
      </w:r>
      <w:r w:rsidRPr="00A930E4">
        <w:rPr>
          <w:b/>
          <w:sz w:val="22"/>
          <w:szCs w:val="22"/>
        </w:rPr>
        <w:t>“Demanda National Viatical”).</w:t>
      </w:r>
    </w:p>
    <w:p w:rsidR="00915E8A" w:rsidRPr="00A930E4" w:rsidRDefault="00915E8A" w:rsidP="00F51C52">
      <w:pPr>
        <w:widowControl/>
        <w:spacing w:line="360" w:lineRule="auto"/>
        <w:rPr>
          <w:sz w:val="22"/>
          <w:szCs w:val="22"/>
        </w:rPr>
      </w:pPr>
    </w:p>
    <w:p w:rsidR="00915E8A" w:rsidRPr="00A930E4" w:rsidRDefault="00915E8A" w:rsidP="00F51C52">
      <w:pPr>
        <w:widowControl/>
        <w:spacing w:line="480" w:lineRule="auto"/>
        <w:rPr>
          <w:b/>
          <w:i/>
          <w:sz w:val="22"/>
          <w:szCs w:val="22"/>
        </w:rPr>
      </w:pPr>
      <w:r w:rsidRPr="00A930E4">
        <w:rPr>
          <w:b/>
          <w:i/>
          <w:sz w:val="22"/>
          <w:szCs w:val="22"/>
        </w:rPr>
        <w:t>Demanda Duscio</w:t>
      </w: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La Demanda Duscio formuló varias demandas de fraude y malversación en relación con el período durante el cual él fue ex-accionista y director de USI, por las que se reclamaban daños y perjuicios. También incluía una demanda de derecho al monto de $1.0 millón que los accionistas de USI pusieron en un depósito en garantía en ejercicio de una disposición de compra-venta forzosa de un acuerdo de los accionistas con respecto a USI (definido como el </w:t>
      </w:r>
      <w:r w:rsidRPr="00A930E4">
        <w:rPr>
          <w:b/>
          <w:sz w:val="22"/>
          <w:szCs w:val="22"/>
        </w:rPr>
        <w:t>“Fondo de depósito en garantía”</w:t>
      </w:r>
      <w:r w:rsidRPr="00A930E4">
        <w:rPr>
          <w:sz w:val="22"/>
          <w:szCs w:val="22"/>
        </w:rPr>
        <w:t xml:space="preserve"> en el Plan). Los asuntos que se plantean en la Demanda Duscio se sometieron a arbitraje antes de los procedimientos según la CCAA.</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Dado que el Sr. Duscio no cumplió con ciertas órdenes de pago emitidas por el árbitro en el curso del procedimiento, se determinó que el Sr. Duscio no había cumplido con el procedimiento de arbitraje y, el 23 de agosto de 2010, el árbitro emitió un laudo inapelable en favor de USI y de sus accionistas en la Demanda Duscio (el </w:t>
      </w:r>
      <w:r w:rsidRPr="00A930E4">
        <w:rPr>
          <w:b/>
          <w:sz w:val="22"/>
          <w:szCs w:val="22"/>
        </w:rPr>
        <w:t>“Laudo inapelable”</w:t>
      </w:r>
      <w:r w:rsidRPr="00A930E4">
        <w:rPr>
          <w:sz w:val="22"/>
          <w:szCs w:val="22"/>
        </w:rPr>
        <w:t xml:space="preserve">). El árbitro ordenó que se liberaran a USI los Fondos de depósito en garantía, y concedió daños y perjuicios a USI y a los accionistas por un monto de aproximadamente $5.5 millones, más intereses y costos. Una copia del Laudo inapelable se encuentra adjunta a este documento como </w:t>
      </w:r>
      <w:r w:rsidRPr="00A930E4">
        <w:rPr>
          <w:b/>
          <w:sz w:val="22"/>
          <w:szCs w:val="22"/>
        </w:rPr>
        <w:t>Apéndice “E”</w:t>
      </w:r>
      <w:r w:rsidRPr="00A930E4">
        <w:rPr>
          <w:sz w:val="22"/>
          <w:szCs w:val="22"/>
        </w:rPr>
        <w:t>.</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lastRenderedPageBreak/>
        <w:t xml:space="preserve">De conformidad con la decisión emitida por el árbitro, USI solicitó y obtuvo la liberación de los Fondos de depósito en garantía de Gowlings LLP, que mantenía los Fondos de depósito en garantía en fideicomiso, y los fondos fueron transferidos a la cuenta de fideicomiso de Ogilvy Renault LLP, el abogado de USI. </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Al enterarse de la liberación del Fondo de depósito en garantía, el Sr. Duscio trató de dejar de lado el laudo arbitral. El procedimiento para dicho recurso se presentó ante el Tribunal Superior de Justicia de Ontario en noviembre de 2010. La liberación del Fondo de depósito en garantía se suspendió en espera de dicha audiencia. En la audiencia de noviembre, el Tribunal remitió el asunto al Tribunal Regional [</w:t>
      </w:r>
      <w:r w:rsidRPr="00A930E4">
        <w:rPr>
          <w:i/>
          <w:sz w:val="22"/>
          <w:szCs w:val="22"/>
        </w:rPr>
        <w:t>Divisional Court</w:t>
      </w:r>
      <w:r w:rsidR="005356DB" w:rsidRPr="00A930E4">
        <w:rPr>
          <w:sz w:val="22"/>
          <w:szCs w:val="22"/>
        </w:rPr>
        <w:t>]</w:t>
      </w:r>
      <w:r w:rsidR="00A96026" w:rsidRPr="00A930E4">
        <w:rPr>
          <w:rStyle w:val="FootnoteReference"/>
          <w:sz w:val="22"/>
          <w:szCs w:val="22"/>
        </w:rPr>
        <w:footnoteReference w:id="3"/>
      </w:r>
      <w:r w:rsidR="005356DB" w:rsidRPr="00A930E4">
        <w:rPr>
          <w:sz w:val="22"/>
          <w:szCs w:val="22"/>
        </w:rPr>
        <w:t xml:space="preserve">. </w:t>
      </w:r>
      <w:r w:rsidRPr="00A930E4">
        <w:rPr>
          <w:sz w:val="22"/>
          <w:szCs w:val="22"/>
        </w:rPr>
        <w:t>El 4 de enero de 2011, el Tribunal Regional rechazó la solicitud de Duscio para una revisión judicial de las decisiones arbitrales y remitió el asunto de la revisión nuevamente al Tribunal Superior de Justicia en virtud de ciertas disposiciones de la Ley de Arbitraje. Se ha programado una audiencia para el 18 de enero de 2011.</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El Sr. Duscio ha tratado de dejar de lado el laudo arbitral sobre la base de que, entre otros, el árbitro no debería haber determinado que él había incurrido en un incumplimiento, ya que los montos que el árbitro le exigía pagar habían sido suspendidos y/o eximidos por su bancarrota. USI se opone a esta posición del Sr. Duscio.</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Si USI tiene éxito en oponerse al recurso presentado por el Sr. Duscio y en defender las decisiones del árbitro, USI está obligado a contribuir el Fondo de depósito en garantía a la Cuenta de fideicomiso supervisada. El Plan establece que el monto contribuido de esta manera se encuentra disponible a partir de entonces para financiar los honorarios legales y desembolsos en los que incurra USI en relación con la Demanda Duscio y la Demanda National Viatical. Cualquier monto que no se utilice de esta manera ha de ser compartido 50/50 entre los accionistas de USI y la Cuenta de fideicomiso supervisada.</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Por otra parte, cualquier monto recuperado del Sr. Duscio a causa de la indemnización por daños y perjuicios de $5.5 millones sería considerado como Recuperación proveniente de litigios y, de </w:t>
      </w:r>
      <w:r w:rsidRPr="00A930E4">
        <w:rPr>
          <w:sz w:val="22"/>
          <w:szCs w:val="22"/>
        </w:rPr>
        <w:lastRenderedPageBreak/>
        <w:t>conformidad con el Plan, habría que contribuirse a la Cuenta de fideicomiso supervisada y asignarse de conformidad con la sección 4.5 del Plan.</w:t>
      </w:r>
    </w:p>
    <w:p w:rsidR="00915E8A" w:rsidRPr="00A930E4" w:rsidRDefault="00915E8A" w:rsidP="00F51C52">
      <w:pPr>
        <w:widowControl/>
        <w:spacing w:line="360" w:lineRule="auto"/>
        <w:rPr>
          <w:sz w:val="22"/>
          <w:szCs w:val="22"/>
        </w:rPr>
      </w:pPr>
    </w:p>
    <w:p w:rsidR="00915E8A" w:rsidRPr="00A930E4" w:rsidRDefault="00915E8A" w:rsidP="00F51C52">
      <w:pPr>
        <w:keepNext/>
        <w:widowControl/>
        <w:spacing w:line="480" w:lineRule="auto"/>
        <w:rPr>
          <w:b/>
          <w:i/>
          <w:sz w:val="22"/>
          <w:szCs w:val="22"/>
        </w:rPr>
      </w:pPr>
      <w:r w:rsidRPr="00A930E4">
        <w:rPr>
          <w:b/>
          <w:i/>
          <w:sz w:val="22"/>
          <w:szCs w:val="22"/>
        </w:rPr>
        <w:t>Demanda National Viatical</w:t>
      </w: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La Demanda National Viatical se refiere a los daños y perjuicios derivados de una transacción que tuvo lugar con USI antes de los procedimientos según la CCAA. La demanda planteó una variedad de causas de acción, incluyendo fraude y malversación, y exigía medidas cautelares y conformes al régimen del </w:t>
      </w:r>
      <w:r w:rsidRPr="00A930E4">
        <w:rPr>
          <w:i/>
          <w:sz w:val="22"/>
          <w:szCs w:val="22"/>
        </w:rPr>
        <w:t>equity</w:t>
      </w:r>
      <w:r w:rsidRPr="00A930E4">
        <w:rPr>
          <w:sz w:val="22"/>
          <w:szCs w:val="22"/>
        </w:rPr>
        <w:t>. La demanda también exigía daños y pe</w:t>
      </w:r>
      <w:r w:rsidR="00F364F3">
        <w:rPr>
          <w:sz w:val="22"/>
          <w:szCs w:val="22"/>
        </w:rPr>
        <w:t>rjuicios por un monto de US$5.0 </w:t>
      </w:r>
      <w:r w:rsidRPr="00A930E4">
        <w:rPr>
          <w:sz w:val="22"/>
          <w:szCs w:val="22"/>
        </w:rPr>
        <w:t xml:space="preserve">millones, más daños punitivos por un monto de US$15.0 millones. </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La Demanda National Viatical ha pasado por los escritos iniciales y la proposición de pruebas, y ya se han hecho numerosas declaraciones.</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El abogado de USI ha informado al Supervisor que el 27 de octubre de 2010 se llegó a un acuerdo con respecto a la Demanda National Viatical por un monto total de $1</w:t>
      </w:r>
      <w:proofErr w:type="gramStart"/>
      <w:r w:rsidRPr="00A930E4">
        <w:rPr>
          <w:sz w:val="22"/>
          <w:szCs w:val="22"/>
        </w:rPr>
        <w:t>,242,000</w:t>
      </w:r>
      <w:proofErr w:type="gramEnd"/>
      <w:r w:rsidRPr="00A930E4">
        <w:rPr>
          <w:sz w:val="22"/>
          <w:szCs w:val="22"/>
        </w:rPr>
        <w:t xml:space="preserve"> pagadero en un período de un año, que se completará en octubre de 2011. De conformidad con el Plan, el monto recuperado en relación con la conciliación se debe depositar en la Cuenta de fideicomiso supervisada como Recuperación proveniente de litigios, la cual se aplicará de conformidad con la sección 4.5 del Plan en primer lugar para reembolsar a la Cuenta de fideicomiso supervisada cualquier cantidad adelantada como Contribución para litigios, en segundo lugar para pagar a Borden Ladner Gervais LLP en relación con su reclamación garantizada, y luego conforme a lo dispuesto en la sección 4.5 del Plan. El comité de litigios de USI ha aprobado la conciliación. Los términos de la conciliación se están finalizando y documentando. El Supervisor ha recibido una copia del borrador del acuerdo de conciliación, que está sujeto a obligaciones de confidencialidad y por lo tanto no puede ser revelado en general. Sin embargo, USI ha notificado sobre una petición con fecha 11 de enero de 2011 para presentar los términos de la conciliación al Tribunal. Los detalles de la conciliación serán presentados ante el Tribunal en relación con dicha petición.</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Ha surgido un asunto en cuanto a si, al reembolsar la Contribución para litigios a la Cuenta de fideicomiso supervisada, USI tiene derecho a volver a adelantar montos a partir de la Cuenta de fideicomiso supervisada como Contribución para litigios en relación con costos legales adicionales en los que se incurra con respecto a la Demanda National Viatical y a la Demanda Duscio, hasta un máximo de $500,000. El efecto de esta interpretación del Plan es que la Contribución para litigios es un fondo renovable. El Décimo Informe del Supervisor al Tribunal con fecha 14 de julio de 2009 </w:t>
      </w:r>
      <w:r w:rsidRPr="00A930E4">
        <w:rPr>
          <w:sz w:val="22"/>
          <w:szCs w:val="22"/>
        </w:rPr>
        <w:lastRenderedPageBreak/>
        <w:t>identificó esto como un problema potencial que requeriría instrucciones de este Tribunal en cuanto a la interpretación del Plan. El Décimo Informe informó al Tribunal que si este problema surgía, se presentaría una petición para obtener instrucciones del Tribunal. El Supervisor ha solicitado, y USI ha concordado, que los fondos de la conciliación que se reciban con respecto a la Demanda National Viatical se mantendrán en depósito en garantía y no se aplicarán hasta que se obtengan instrucciones del Tribunal con respecto a este asunto.</w:t>
      </w:r>
    </w:p>
    <w:p w:rsidR="00915E8A" w:rsidRPr="00A930E4" w:rsidRDefault="00915E8A" w:rsidP="00F51C52">
      <w:pPr>
        <w:widowControl/>
        <w:spacing w:line="360" w:lineRule="auto"/>
        <w:rPr>
          <w:sz w:val="22"/>
          <w:szCs w:val="22"/>
        </w:rPr>
      </w:pPr>
    </w:p>
    <w:p w:rsidR="00915E8A" w:rsidRPr="00A930E4" w:rsidRDefault="00915E8A" w:rsidP="00F51C52">
      <w:pPr>
        <w:widowControl/>
        <w:spacing w:line="480" w:lineRule="auto"/>
        <w:rPr>
          <w:b/>
          <w:sz w:val="22"/>
          <w:szCs w:val="22"/>
        </w:rPr>
      </w:pPr>
      <w:r w:rsidRPr="00A930E4">
        <w:rPr>
          <w:b/>
          <w:sz w:val="22"/>
          <w:szCs w:val="22"/>
        </w:rPr>
        <w:t>PAGOS DE ACCIONISTAS</w:t>
      </w: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Al inicio de los Procedimientos según la CCAA, USI informó al Supervisor que, como resultado de las presuntas irregularidades que se produjeron antes del nombramiento del Supervisor tal como se describe con mayor detalle en la declaración jurada de Chris Halas con fecha 2 de diciembre de 2008, USI opinaba que no se podía confiar en los registros financieros históricos de la Compañía. El Supervisor pidió a USI que preparara por lo menos un balance general actual no auditado </w:t>
      </w:r>
      <w:r w:rsidRPr="00A930E4">
        <w:rPr>
          <w:b/>
          <w:sz w:val="22"/>
          <w:szCs w:val="22"/>
        </w:rPr>
        <w:t>(“Balance general”</w:t>
      </w:r>
      <w:r w:rsidRPr="00A930E4">
        <w:rPr>
          <w:sz w:val="22"/>
          <w:szCs w:val="22"/>
        </w:rPr>
        <w:t xml:space="preserve">). La gerencia de USI proporcionó un balance general no auditado al Supervisor al 30 de septiembre de 2008, el cual se adjunta como </w:t>
      </w:r>
      <w:r w:rsidRPr="00A930E4">
        <w:rPr>
          <w:b/>
          <w:sz w:val="22"/>
          <w:szCs w:val="22"/>
        </w:rPr>
        <w:t>Apéndice “F”,</w:t>
      </w:r>
      <w:r w:rsidRPr="00A930E4">
        <w:rPr>
          <w:sz w:val="22"/>
          <w:szCs w:val="22"/>
        </w:rPr>
        <w:t xml:space="preserve"> y que se presentó en los Procedimientos según la CCAA como elemento probatorio del Séptimo Informe del Supervisor. La gerencia informó al Supervisor que el Balance general reflejaba la situación de la Compañía según el leal saber y entender de la Gerencia. El Supervisor y el Tribunal se refirieron al Balance general durante los Procedimientos según la CCAA con el fin de identificar y cuantificar el valor de ciertos Activos del Plan.</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El 19 de julio de 2010, el Supervisor recibió una carta de una de las partes que presentó una reclamación en el conjunto de bienes y que está actualmente en disputa. La carta identificó determinados asuntos de demanda con respecto a las acciones de USI, incluyendo, entre otras cosas, aproximadamente $250,000 en préstamos a accionistas </w:t>
      </w:r>
      <w:r w:rsidRPr="00A930E4">
        <w:rPr>
          <w:b/>
          <w:sz w:val="22"/>
          <w:szCs w:val="22"/>
        </w:rPr>
        <w:t>(“Préstamos a accionistas”)</w:t>
      </w:r>
      <w:r w:rsidRPr="00A930E4">
        <w:rPr>
          <w:sz w:val="22"/>
          <w:szCs w:val="22"/>
        </w:rPr>
        <w:t xml:space="preserve"> y $300,000 en pagos en efectivo, por un total de $550,000 (junto con los Préstamos a accionistas, los </w:t>
      </w:r>
      <w:r w:rsidRPr="00A930E4">
        <w:rPr>
          <w:b/>
          <w:sz w:val="22"/>
          <w:szCs w:val="22"/>
        </w:rPr>
        <w:t>“Pagos a accionistas”)</w:t>
      </w:r>
      <w:r w:rsidRPr="00A930E4">
        <w:rPr>
          <w:sz w:val="22"/>
          <w:szCs w:val="22"/>
        </w:rPr>
        <w:t xml:space="preserve"> que USI dio a los accionistas de USI varios años antes del inicio de los Procedimientos según la CCAA. Para respaldar estos alegatos, el acreedor incluyó con su carta extractos de declaraciones formuladas por los accionistas de USI en abril de 2010 en la Demanda National Viatical en las que los accionistas confirmaban la existencia de los Pagos a accionistas.</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El Supervisor revisó la correspondencia del Acreedor y preguntó a la gerencia de USI sobre las cuestiones planteadas en dichos documentos, incluyendo con respecto a los Pagos a accionistas, y si los Pagos a accionistas se seguían adeudando a USI al inicio de los Procedimientos según la </w:t>
      </w:r>
      <w:r w:rsidRPr="00A930E4">
        <w:rPr>
          <w:sz w:val="22"/>
          <w:szCs w:val="22"/>
        </w:rPr>
        <w:lastRenderedPageBreak/>
        <w:t>CCAA. Mediante carta del 27 de agosto de 2010, el abogado del Supervisor escribió al abogado de USI solicitándole información adicional sobre los Pagos a accionistas y ciertas otras preguntas planteadas en relación con la asignación de determinadas pólizas.</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Mediante carta del 27 de agosto de 2010, el Supervisor proporcionó respuestas a la mayoría de las preguntas formuladas por el Acreedor, y le informó que le había solicitado a USI una respuesta sobre la cuestión de los Pagos a accionistas y las pólizas.</w:t>
      </w:r>
    </w:p>
    <w:p w:rsidR="00915E8A" w:rsidRPr="00A930E4" w:rsidRDefault="00915E8A" w:rsidP="00F51C52">
      <w:pPr>
        <w:widowControl/>
        <w:spacing w:line="360" w:lineRule="auto"/>
        <w:rPr>
          <w:sz w:val="22"/>
          <w:szCs w:val="22"/>
        </w:rPr>
      </w:pPr>
    </w:p>
    <w:p w:rsidR="00915E8A" w:rsidRPr="00A930E4" w:rsidRDefault="00915E8A" w:rsidP="00F51C52">
      <w:pPr>
        <w:widowControl/>
        <w:numPr>
          <w:ilvl w:val="0"/>
          <w:numId w:val="43"/>
        </w:numPr>
        <w:tabs>
          <w:tab w:val="clear" w:pos="360"/>
          <w:tab w:val="num" w:pos="567"/>
        </w:tabs>
        <w:spacing w:line="360" w:lineRule="auto"/>
        <w:ind w:left="567" w:hanging="567"/>
        <w:rPr>
          <w:sz w:val="22"/>
          <w:szCs w:val="22"/>
        </w:rPr>
      </w:pPr>
      <w:r w:rsidRPr="00A930E4">
        <w:rPr>
          <w:sz w:val="22"/>
          <w:szCs w:val="22"/>
        </w:rPr>
        <w:t xml:space="preserve">Mediante carta de fecha 1 de noviembre de 2010, el abogado de USI envió una respuesta al Supervisor con respecto a estos asuntos. Una copia de la carta se encuentra adjunta a este documento como </w:t>
      </w:r>
      <w:r w:rsidRPr="00A930E4">
        <w:rPr>
          <w:b/>
          <w:sz w:val="22"/>
          <w:szCs w:val="22"/>
        </w:rPr>
        <w:t>Apéndice “G”</w:t>
      </w:r>
      <w:r w:rsidRPr="00A930E4">
        <w:rPr>
          <w:sz w:val="22"/>
          <w:szCs w:val="22"/>
        </w:rPr>
        <w:t>. El Supervisor ha remitido una copia de la respuesta al Acreedor. Sujeto a instrucciones de este Tribunal, el Supervisor no tiene intención de tomar ningún otro paso en este momento con respecto a estas cuestiones pues en su opinión éstos son asuntos que deben someterse a consideración de los Acreedores.</w:t>
      </w:r>
    </w:p>
    <w:p w:rsidR="00915E8A" w:rsidRPr="00A930E4" w:rsidRDefault="00915E8A" w:rsidP="00F51C52">
      <w:pPr>
        <w:widowControl/>
        <w:spacing w:line="360" w:lineRule="auto"/>
        <w:rPr>
          <w:sz w:val="22"/>
          <w:szCs w:val="22"/>
        </w:rPr>
      </w:pPr>
    </w:p>
    <w:p w:rsidR="00915E8A" w:rsidRPr="00A930E4" w:rsidRDefault="00915E8A" w:rsidP="00F51C52">
      <w:pPr>
        <w:widowControl/>
        <w:spacing w:line="360" w:lineRule="auto"/>
        <w:rPr>
          <w:sz w:val="22"/>
          <w:szCs w:val="22"/>
        </w:rPr>
      </w:pPr>
      <w:r w:rsidRPr="00A930E4">
        <w:rPr>
          <w:sz w:val="22"/>
          <w:szCs w:val="22"/>
        </w:rPr>
        <w:t>TODO LO CUAL se presenta con el debido respeto a los 7 días del mes de enero de 2011.</w:t>
      </w:r>
    </w:p>
    <w:p w:rsidR="00915E8A" w:rsidRPr="00A930E4" w:rsidRDefault="00915E8A" w:rsidP="00F51C52">
      <w:pPr>
        <w:widowControl/>
        <w:spacing w:line="360" w:lineRule="auto"/>
        <w:rPr>
          <w:sz w:val="22"/>
          <w:szCs w:val="22"/>
        </w:rPr>
      </w:pPr>
    </w:p>
    <w:p w:rsidR="00915E8A" w:rsidRPr="00A930E4" w:rsidRDefault="00915E8A" w:rsidP="00F51C52">
      <w:pPr>
        <w:widowControl/>
        <w:ind w:left="5040"/>
        <w:rPr>
          <w:b/>
          <w:sz w:val="22"/>
          <w:szCs w:val="22"/>
        </w:rPr>
      </w:pPr>
      <w:r w:rsidRPr="00A930E4">
        <w:rPr>
          <w:b/>
          <w:sz w:val="22"/>
          <w:szCs w:val="22"/>
        </w:rPr>
        <w:t>ERNST &amp; YOUNG INC.,</w:t>
      </w:r>
    </w:p>
    <w:p w:rsidR="00915E8A" w:rsidRPr="00A930E4" w:rsidRDefault="00915E8A" w:rsidP="00F51C52">
      <w:pPr>
        <w:widowControl/>
        <w:ind w:left="5040"/>
        <w:rPr>
          <w:b/>
          <w:sz w:val="22"/>
          <w:szCs w:val="22"/>
        </w:rPr>
      </w:pPr>
      <w:r w:rsidRPr="00A930E4">
        <w:rPr>
          <w:b/>
          <w:sz w:val="22"/>
          <w:szCs w:val="22"/>
        </w:rPr>
        <w:t>Supervisor de Universal Settlements International Inc. nombrado por el Tribunal, y no en su capacidad personal o corporativa.</w:t>
      </w:r>
    </w:p>
    <w:p w:rsidR="00915E8A" w:rsidRPr="00A930E4" w:rsidRDefault="00915E8A" w:rsidP="00F51C52">
      <w:pPr>
        <w:widowControl/>
        <w:ind w:left="5040"/>
        <w:rPr>
          <w:sz w:val="22"/>
          <w:szCs w:val="22"/>
        </w:rPr>
      </w:pPr>
    </w:p>
    <w:p w:rsidR="00915E8A" w:rsidRPr="00A930E4" w:rsidRDefault="00915E8A" w:rsidP="00F51C52">
      <w:pPr>
        <w:widowControl/>
        <w:ind w:left="5040"/>
        <w:rPr>
          <w:sz w:val="22"/>
          <w:szCs w:val="22"/>
        </w:rPr>
      </w:pPr>
    </w:p>
    <w:p w:rsidR="00915E8A" w:rsidRPr="00A930E4" w:rsidRDefault="00915E8A" w:rsidP="00F51C52">
      <w:pPr>
        <w:widowControl/>
        <w:ind w:left="5040"/>
        <w:rPr>
          <w:sz w:val="22"/>
          <w:szCs w:val="22"/>
        </w:rPr>
      </w:pPr>
      <w:r w:rsidRPr="00A930E4">
        <w:rPr>
          <w:sz w:val="22"/>
          <w:szCs w:val="22"/>
        </w:rPr>
        <w:t>Por:</w:t>
      </w:r>
    </w:p>
    <w:p w:rsidR="00915E8A" w:rsidRPr="00A930E4" w:rsidRDefault="00915E8A" w:rsidP="00F51C52">
      <w:pPr>
        <w:widowControl/>
        <w:ind w:left="5040"/>
        <w:rPr>
          <w:sz w:val="22"/>
          <w:szCs w:val="22"/>
        </w:rPr>
      </w:pPr>
    </w:p>
    <w:p w:rsidR="00915E8A" w:rsidRPr="00A930E4" w:rsidRDefault="00915E8A" w:rsidP="00F51C52">
      <w:pPr>
        <w:widowControl/>
        <w:ind w:left="5040"/>
        <w:rPr>
          <w:sz w:val="22"/>
          <w:szCs w:val="22"/>
          <w:u w:val="single"/>
        </w:rPr>
      </w:pPr>
      <w:r w:rsidRPr="00A930E4">
        <w:rPr>
          <w:sz w:val="22"/>
          <w:szCs w:val="22"/>
          <w:u w:val="single"/>
        </w:rPr>
        <w:t>(</w:t>
      </w:r>
      <w:proofErr w:type="gramStart"/>
      <w:r w:rsidRPr="00A930E4">
        <w:rPr>
          <w:sz w:val="22"/>
          <w:szCs w:val="22"/>
          <w:u w:val="single"/>
        </w:rPr>
        <w:t>firma</w:t>
      </w:r>
      <w:proofErr w:type="gramEnd"/>
      <w:r w:rsidRPr="00A930E4">
        <w:rPr>
          <w:sz w:val="22"/>
          <w:szCs w:val="22"/>
          <w:u w:val="single"/>
        </w:rPr>
        <w:t xml:space="preserve"> ilegible)</w:t>
      </w:r>
    </w:p>
    <w:p w:rsidR="00915E8A" w:rsidRPr="00A930E4" w:rsidRDefault="00915E8A" w:rsidP="00F51C52">
      <w:pPr>
        <w:widowControl/>
        <w:ind w:left="5040"/>
        <w:rPr>
          <w:sz w:val="22"/>
          <w:szCs w:val="22"/>
        </w:rPr>
      </w:pPr>
      <w:r w:rsidRPr="00A930E4">
        <w:rPr>
          <w:sz w:val="22"/>
          <w:szCs w:val="22"/>
        </w:rPr>
        <w:t xml:space="preserve">Brian Denega </w:t>
      </w:r>
    </w:p>
    <w:p w:rsidR="00915E8A" w:rsidRPr="00A930E4" w:rsidRDefault="00915E8A" w:rsidP="00F51C52">
      <w:pPr>
        <w:widowControl/>
        <w:ind w:left="5040"/>
        <w:rPr>
          <w:sz w:val="22"/>
          <w:szCs w:val="22"/>
        </w:rPr>
      </w:pPr>
      <w:r w:rsidRPr="00A930E4">
        <w:rPr>
          <w:sz w:val="22"/>
          <w:szCs w:val="22"/>
        </w:rPr>
        <w:t>Vicepresidente principal</w:t>
      </w:r>
    </w:p>
    <w:p w:rsidR="00915E8A" w:rsidRPr="00A930E4" w:rsidRDefault="00915E8A" w:rsidP="00F51C52">
      <w:pPr>
        <w:widowControl/>
        <w:ind w:left="5040"/>
        <w:rPr>
          <w:sz w:val="22"/>
          <w:szCs w:val="22"/>
        </w:rPr>
      </w:pPr>
    </w:p>
    <w:p w:rsidR="00915E8A" w:rsidRPr="00A930E4" w:rsidRDefault="00915E8A" w:rsidP="00F51C52">
      <w:pPr>
        <w:widowControl/>
        <w:ind w:left="5040"/>
        <w:rPr>
          <w:sz w:val="22"/>
          <w:szCs w:val="22"/>
        </w:rPr>
      </w:pPr>
    </w:p>
    <w:p w:rsidR="00915E8A" w:rsidRPr="00A930E4" w:rsidRDefault="00915E8A" w:rsidP="00F51C52">
      <w:pPr>
        <w:widowControl/>
        <w:ind w:left="5040"/>
        <w:rPr>
          <w:sz w:val="22"/>
          <w:szCs w:val="22"/>
        </w:rPr>
      </w:pPr>
      <w:r w:rsidRPr="00A930E4">
        <w:rPr>
          <w:sz w:val="22"/>
          <w:szCs w:val="22"/>
        </w:rPr>
        <w:t>Por:</w:t>
      </w:r>
    </w:p>
    <w:p w:rsidR="00915E8A" w:rsidRPr="00A930E4" w:rsidRDefault="00915E8A" w:rsidP="00F51C52">
      <w:pPr>
        <w:widowControl/>
        <w:ind w:left="5040"/>
        <w:rPr>
          <w:sz w:val="22"/>
          <w:szCs w:val="22"/>
        </w:rPr>
      </w:pPr>
    </w:p>
    <w:p w:rsidR="00915E8A" w:rsidRPr="00A930E4" w:rsidRDefault="00915E8A" w:rsidP="00F51C52">
      <w:pPr>
        <w:widowControl/>
        <w:ind w:left="5040"/>
        <w:rPr>
          <w:sz w:val="22"/>
          <w:szCs w:val="22"/>
          <w:u w:val="single"/>
        </w:rPr>
      </w:pPr>
      <w:r w:rsidRPr="00A930E4">
        <w:rPr>
          <w:sz w:val="22"/>
          <w:szCs w:val="22"/>
          <w:u w:val="single"/>
        </w:rPr>
        <w:t>(</w:t>
      </w:r>
      <w:proofErr w:type="gramStart"/>
      <w:r w:rsidRPr="00A930E4">
        <w:rPr>
          <w:sz w:val="22"/>
          <w:szCs w:val="22"/>
          <w:u w:val="single"/>
        </w:rPr>
        <w:t>firma</w:t>
      </w:r>
      <w:proofErr w:type="gramEnd"/>
      <w:r w:rsidRPr="00A930E4">
        <w:rPr>
          <w:sz w:val="22"/>
          <w:szCs w:val="22"/>
          <w:u w:val="single"/>
        </w:rPr>
        <w:t xml:space="preserve"> ilegible)</w:t>
      </w:r>
    </w:p>
    <w:p w:rsidR="00915E8A" w:rsidRPr="00A930E4" w:rsidRDefault="00915E8A" w:rsidP="00F51C52">
      <w:pPr>
        <w:widowControl/>
        <w:ind w:left="5040"/>
        <w:rPr>
          <w:sz w:val="22"/>
          <w:szCs w:val="22"/>
        </w:rPr>
      </w:pPr>
      <w:r w:rsidRPr="00A930E4">
        <w:rPr>
          <w:sz w:val="22"/>
          <w:szCs w:val="22"/>
        </w:rPr>
        <w:t xml:space="preserve">Rahn Dodick </w:t>
      </w:r>
    </w:p>
    <w:p w:rsidR="00915E8A" w:rsidRPr="00A930E4" w:rsidRDefault="00915E8A" w:rsidP="00F51C52">
      <w:pPr>
        <w:widowControl/>
        <w:ind w:left="5040"/>
        <w:rPr>
          <w:sz w:val="22"/>
          <w:szCs w:val="22"/>
        </w:rPr>
      </w:pPr>
      <w:r w:rsidRPr="00A930E4">
        <w:rPr>
          <w:sz w:val="22"/>
          <w:szCs w:val="22"/>
        </w:rPr>
        <w:t>Vicepresidente</w:t>
      </w:r>
    </w:p>
    <w:p w:rsidR="00EF4B60" w:rsidRDefault="00EF4B60" w:rsidP="00F51C52">
      <w:pPr>
        <w:widowControl/>
        <w:spacing w:line="360" w:lineRule="auto"/>
        <w:rPr>
          <w:sz w:val="22"/>
          <w:szCs w:val="22"/>
        </w:rPr>
        <w:sectPr w:rsidR="00EF4B60" w:rsidSect="00915E8A">
          <w:headerReference w:type="even" r:id="rId8"/>
          <w:footerReference w:type="even" r:id="rId9"/>
          <w:footerReference w:type="default" r:id="rId10"/>
          <w:pgSz w:w="12242" w:h="15842" w:code="1"/>
          <w:pgMar w:top="1440" w:right="1440" w:bottom="1440" w:left="1440" w:header="720" w:footer="567" w:gutter="0"/>
          <w:pgNumType w:fmt="numberInDash"/>
          <w:cols w:space="60"/>
          <w:noEndnote/>
        </w:sect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center"/>
        <w:rPr>
          <w:rStyle w:val="FontStyle101"/>
        </w:rPr>
      </w:pPr>
    </w:p>
    <w:p w:rsidR="00EF4B60" w:rsidRPr="001735F9" w:rsidRDefault="00EF4B60" w:rsidP="00F51C52">
      <w:pPr>
        <w:pStyle w:val="Style79"/>
        <w:widowControl/>
        <w:spacing w:line="643" w:lineRule="exact"/>
        <w:jc w:val="center"/>
        <w:rPr>
          <w:rStyle w:val="FontStyle101"/>
        </w:rPr>
      </w:pPr>
    </w:p>
    <w:p w:rsidR="00EF4B60" w:rsidRPr="001735F9" w:rsidRDefault="00EF4B60" w:rsidP="00F51C52">
      <w:pPr>
        <w:pStyle w:val="Style79"/>
        <w:widowControl/>
        <w:spacing w:line="643" w:lineRule="exact"/>
        <w:jc w:val="center"/>
        <w:rPr>
          <w:rStyle w:val="FontStyle101"/>
        </w:rPr>
      </w:pPr>
    </w:p>
    <w:p w:rsidR="00EF4B60" w:rsidRPr="001735F9" w:rsidRDefault="00EF4B60" w:rsidP="00F51C52">
      <w:pPr>
        <w:pStyle w:val="Style79"/>
        <w:widowControl/>
        <w:spacing w:line="643" w:lineRule="exact"/>
        <w:jc w:val="center"/>
        <w:rPr>
          <w:rStyle w:val="FontStyle101"/>
        </w:rPr>
      </w:pPr>
    </w:p>
    <w:p w:rsidR="00EF4B60" w:rsidRPr="001735F9" w:rsidRDefault="00EF4B60" w:rsidP="00F51C52">
      <w:pPr>
        <w:pStyle w:val="Style79"/>
        <w:widowControl/>
        <w:spacing w:line="643" w:lineRule="exact"/>
        <w:jc w:val="center"/>
        <w:rPr>
          <w:rStyle w:val="FontStyle101"/>
        </w:rPr>
      </w:pPr>
    </w:p>
    <w:p w:rsidR="00EF4B60" w:rsidRPr="001735F9" w:rsidRDefault="00EF4B60" w:rsidP="00F51C52">
      <w:pPr>
        <w:pStyle w:val="Style79"/>
        <w:widowControl/>
        <w:spacing w:line="643" w:lineRule="exact"/>
        <w:jc w:val="center"/>
        <w:rPr>
          <w:rStyle w:val="FontStyle101"/>
          <w:spacing w:val="-40"/>
        </w:rPr>
      </w:pPr>
      <w:r>
        <w:rPr>
          <w:rStyle w:val="FontStyle101"/>
        </w:rPr>
        <w:t xml:space="preserve">Apéndice </w:t>
      </w:r>
      <w:r>
        <w:rPr>
          <w:rStyle w:val="FontStyle101"/>
          <w:spacing w:val="-40"/>
        </w:rPr>
        <w:t>“A”</w:t>
      </w:r>
    </w:p>
    <w:p w:rsidR="00EF4B60" w:rsidRPr="001735F9" w:rsidRDefault="00EF4B60" w:rsidP="00F51C52">
      <w:pPr>
        <w:pStyle w:val="Style79"/>
        <w:widowControl/>
        <w:spacing w:line="643" w:lineRule="exact"/>
        <w:jc w:val="center"/>
        <w:rPr>
          <w:rStyle w:val="FontStyle101"/>
          <w:position w:val="1"/>
        </w:rPr>
      </w:pPr>
    </w:p>
    <w:p w:rsidR="00EF4B60" w:rsidRDefault="00EF4B60" w:rsidP="00F51C52">
      <w:pPr>
        <w:pStyle w:val="Style79"/>
        <w:widowControl/>
        <w:spacing w:line="643" w:lineRule="exact"/>
        <w:jc w:val="center"/>
        <w:sectPr w:rsidR="00EF4B60" w:rsidSect="00915E8A">
          <w:headerReference w:type="default" r:id="rId11"/>
          <w:footerReference w:type="default" r:id="rId12"/>
          <w:pgSz w:w="12242" w:h="15842" w:code="1"/>
          <w:pgMar w:top="1440" w:right="1440" w:bottom="1440" w:left="1440" w:header="720" w:footer="567" w:gutter="0"/>
          <w:pgNumType w:fmt="numberInDash"/>
          <w:cols w:space="60"/>
          <w:noEndnote/>
        </w:sect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center"/>
        <w:rPr>
          <w:rStyle w:val="FontStyle101"/>
        </w:rPr>
      </w:pPr>
    </w:p>
    <w:p w:rsidR="00EF4B60" w:rsidRPr="001735F9" w:rsidRDefault="00EF4B60" w:rsidP="00F51C52">
      <w:pPr>
        <w:pStyle w:val="Style79"/>
        <w:widowControl/>
        <w:spacing w:line="643" w:lineRule="exact"/>
        <w:jc w:val="center"/>
        <w:rPr>
          <w:rStyle w:val="FontStyle101"/>
        </w:rPr>
      </w:pPr>
    </w:p>
    <w:p w:rsidR="00EF4B60" w:rsidRPr="001735F9" w:rsidRDefault="00EF4B60" w:rsidP="00F51C52">
      <w:pPr>
        <w:pStyle w:val="Style79"/>
        <w:widowControl/>
        <w:spacing w:line="643" w:lineRule="exact"/>
        <w:jc w:val="center"/>
        <w:rPr>
          <w:rStyle w:val="FontStyle101"/>
        </w:rPr>
      </w:pPr>
    </w:p>
    <w:p w:rsidR="00EF4B60" w:rsidRPr="001735F9" w:rsidRDefault="00EF4B60" w:rsidP="00F51C52">
      <w:pPr>
        <w:pStyle w:val="Style79"/>
        <w:widowControl/>
        <w:spacing w:line="643" w:lineRule="exact"/>
        <w:jc w:val="center"/>
        <w:rPr>
          <w:rStyle w:val="FontStyle101"/>
        </w:rPr>
      </w:pPr>
    </w:p>
    <w:p w:rsidR="00EF4B60" w:rsidRPr="001735F9" w:rsidRDefault="00EF4B60" w:rsidP="00F51C52">
      <w:pPr>
        <w:pStyle w:val="Style79"/>
        <w:widowControl/>
        <w:spacing w:line="643" w:lineRule="exact"/>
        <w:jc w:val="center"/>
        <w:rPr>
          <w:rStyle w:val="FontStyle101"/>
        </w:rPr>
      </w:pPr>
    </w:p>
    <w:p w:rsidR="00EF4B60" w:rsidRPr="001735F9" w:rsidRDefault="00EF4B60" w:rsidP="00F51C52">
      <w:pPr>
        <w:pStyle w:val="Style79"/>
        <w:widowControl/>
        <w:spacing w:line="643" w:lineRule="exact"/>
        <w:jc w:val="center"/>
        <w:rPr>
          <w:rStyle w:val="FontStyle101"/>
        </w:rPr>
      </w:pPr>
    </w:p>
    <w:p w:rsidR="00EF4B60" w:rsidRPr="001735F9" w:rsidRDefault="00EF4B60" w:rsidP="00F51C52">
      <w:pPr>
        <w:pStyle w:val="Style79"/>
        <w:widowControl/>
        <w:spacing w:line="643" w:lineRule="exact"/>
        <w:jc w:val="center"/>
        <w:rPr>
          <w:rStyle w:val="FontStyle101"/>
        </w:rPr>
      </w:pPr>
    </w:p>
    <w:p w:rsidR="00EF4B60" w:rsidRPr="001735F9" w:rsidRDefault="00EF4B60" w:rsidP="00F51C52">
      <w:pPr>
        <w:pStyle w:val="Style79"/>
        <w:widowControl/>
        <w:spacing w:line="643" w:lineRule="exact"/>
        <w:jc w:val="center"/>
        <w:rPr>
          <w:rStyle w:val="FontStyle101"/>
        </w:rPr>
      </w:pPr>
    </w:p>
    <w:p w:rsidR="00EF4B60" w:rsidRPr="001735F9" w:rsidRDefault="00EF4B60" w:rsidP="00F51C52">
      <w:pPr>
        <w:pStyle w:val="Style79"/>
        <w:widowControl/>
        <w:spacing w:line="643" w:lineRule="exact"/>
        <w:jc w:val="center"/>
        <w:rPr>
          <w:rStyle w:val="FontStyle101"/>
          <w:spacing w:val="-40"/>
          <w:position w:val="1"/>
        </w:rPr>
      </w:pPr>
      <w:r>
        <w:rPr>
          <w:rStyle w:val="FontStyle101"/>
          <w:position w:val="1"/>
        </w:rPr>
        <w:t xml:space="preserve">Apéndice </w:t>
      </w:r>
      <w:r>
        <w:rPr>
          <w:rStyle w:val="FontStyle101"/>
          <w:spacing w:val="-40"/>
          <w:position w:val="1"/>
        </w:rPr>
        <w:t>“B”</w:t>
      </w:r>
    </w:p>
    <w:p w:rsidR="00EF4B60" w:rsidRPr="00EC29C6" w:rsidRDefault="00EF4B60" w:rsidP="00F51C52">
      <w:pPr>
        <w:pStyle w:val="Style75"/>
        <w:widowControl/>
        <w:spacing w:line="240" w:lineRule="auto"/>
        <w:ind w:right="6" w:firstLine="0"/>
        <w:jc w:val="center"/>
        <w:rPr>
          <w:rStyle w:val="FontStyle91"/>
          <w:sz w:val="18"/>
          <w:szCs w:val="18"/>
        </w:rPr>
      </w:pPr>
      <w:r>
        <w:br w:type="page"/>
      </w:r>
      <w:r w:rsidRPr="00EC29C6">
        <w:rPr>
          <w:rStyle w:val="FontStyle91"/>
          <w:sz w:val="18"/>
          <w:szCs w:val="18"/>
        </w:rPr>
        <w:lastRenderedPageBreak/>
        <w:t>Apéndice “B”</w:t>
      </w:r>
    </w:p>
    <w:p w:rsidR="00EF4B60" w:rsidRPr="00EC29C6" w:rsidRDefault="00EF4B60" w:rsidP="00F51C52">
      <w:pPr>
        <w:pStyle w:val="Style75"/>
        <w:widowControl/>
        <w:spacing w:line="240" w:lineRule="auto"/>
        <w:ind w:right="6" w:firstLine="0"/>
        <w:jc w:val="center"/>
        <w:rPr>
          <w:rStyle w:val="FontStyle91"/>
          <w:sz w:val="18"/>
          <w:szCs w:val="18"/>
        </w:rPr>
      </w:pPr>
      <w:r w:rsidRPr="00EC29C6">
        <w:rPr>
          <w:rStyle w:val="FontStyle91"/>
          <w:sz w:val="18"/>
          <w:szCs w:val="18"/>
        </w:rPr>
        <w:t>Preparado por USI</w:t>
      </w:r>
    </w:p>
    <w:p w:rsidR="00EF4B60" w:rsidRPr="00EC29C6" w:rsidRDefault="00EF4B60" w:rsidP="00F51C52">
      <w:pPr>
        <w:pStyle w:val="Style2"/>
        <w:widowControl/>
        <w:spacing w:before="67" w:line="240" w:lineRule="auto"/>
        <w:ind w:right="6"/>
        <w:rPr>
          <w:rStyle w:val="FontStyle83"/>
          <w:sz w:val="20"/>
          <w:szCs w:val="20"/>
        </w:rPr>
      </w:pPr>
      <w:r w:rsidRPr="00EC29C6">
        <w:rPr>
          <w:rStyle w:val="FontStyle83"/>
          <w:sz w:val="20"/>
          <w:szCs w:val="20"/>
        </w:rPr>
        <w:t>UNIVERSAL SETTLEMENTS INTERNATIONAL INC.</w:t>
      </w:r>
    </w:p>
    <w:p w:rsidR="00EF4B60" w:rsidRPr="00EC29C6" w:rsidRDefault="00EF4B60" w:rsidP="00F51C52">
      <w:pPr>
        <w:pStyle w:val="Style2"/>
        <w:widowControl/>
        <w:spacing w:before="67" w:line="240" w:lineRule="auto"/>
        <w:ind w:right="6"/>
        <w:rPr>
          <w:rStyle w:val="FontStyle83"/>
          <w:sz w:val="20"/>
          <w:szCs w:val="20"/>
        </w:rPr>
      </w:pPr>
      <w:r w:rsidRPr="00EC29C6">
        <w:rPr>
          <w:rStyle w:val="FontStyle83"/>
          <w:sz w:val="20"/>
          <w:szCs w:val="20"/>
        </w:rPr>
        <w:t>Flujo de caja de la Cuenta de fideicomiso supervisada</w:t>
      </w:r>
    </w:p>
    <w:p w:rsidR="00EF4B60" w:rsidRPr="00EC29C6" w:rsidRDefault="00EF4B60" w:rsidP="00F51C52">
      <w:pPr>
        <w:pStyle w:val="Style2"/>
        <w:widowControl/>
        <w:spacing w:before="67" w:line="240" w:lineRule="auto"/>
        <w:ind w:right="6"/>
        <w:rPr>
          <w:rStyle w:val="FontStyle83"/>
          <w:sz w:val="18"/>
          <w:szCs w:val="18"/>
        </w:rPr>
      </w:pPr>
      <w:r w:rsidRPr="00EC29C6">
        <w:rPr>
          <w:rStyle w:val="FontStyle83"/>
          <w:sz w:val="20"/>
          <w:szCs w:val="20"/>
        </w:rPr>
        <w:t>Del 21 de julio de 2009 al 30 de septiembre de 2010</w:t>
      </w:r>
    </w:p>
    <w:p w:rsidR="00EF4B60" w:rsidRPr="00EC29C6" w:rsidRDefault="00EF4B60" w:rsidP="00F51C52">
      <w:pPr>
        <w:pStyle w:val="Style68"/>
        <w:widowControl/>
        <w:spacing w:before="38" w:line="240" w:lineRule="auto"/>
        <w:ind w:right="6"/>
        <w:jc w:val="center"/>
        <w:rPr>
          <w:rStyle w:val="FontStyle94"/>
          <w:sz w:val="18"/>
          <w:szCs w:val="18"/>
        </w:rPr>
      </w:pPr>
      <w:r w:rsidRPr="00EC29C6">
        <w:rPr>
          <w:rStyle w:val="FontStyle94"/>
          <w:sz w:val="18"/>
          <w:szCs w:val="18"/>
        </w:rPr>
        <w:t>(</w:t>
      </w:r>
      <w:proofErr w:type="gramStart"/>
      <w:r w:rsidRPr="00EC29C6">
        <w:rPr>
          <w:rStyle w:val="FontStyle94"/>
          <w:sz w:val="18"/>
          <w:szCs w:val="18"/>
        </w:rPr>
        <w:t>aproximadamente</w:t>
      </w:r>
      <w:proofErr w:type="gramEnd"/>
      <w:r w:rsidRPr="00EC29C6">
        <w:rPr>
          <w:rStyle w:val="FontStyle94"/>
          <w:sz w:val="18"/>
          <w:szCs w:val="18"/>
        </w:rPr>
        <w:t xml:space="preserve"> catorce meses)</w:t>
      </w:r>
    </w:p>
    <w:p w:rsidR="00EF4B60" w:rsidRPr="001735F9" w:rsidRDefault="00EF4B60" w:rsidP="00F51C52">
      <w:pPr>
        <w:pStyle w:val="Style21"/>
        <w:widowControl/>
        <w:spacing w:before="29" w:line="240" w:lineRule="auto"/>
        <w:rPr>
          <w:rStyle w:val="FontStyle94"/>
        </w:rPr>
      </w:pPr>
      <w:r>
        <w:rPr>
          <w:rStyle w:val="FontStyle94"/>
        </w:rPr>
        <w:t xml:space="preserve">($ </w:t>
      </w:r>
      <w:proofErr w:type="gramStart"/>
      <w:r w:rsidR="00700BC0">
        <w:rPr>
          <w:rStyle w:val="FontStyle94"/>
        </w:rPr>
        <w:t>c</w:t>
      </w:r>
      <w:r>
        <w:rPr>
          <w:rStyle w:val="FontStyle94"/>
        </w:rPr>
        <w:t>anadienses</w:t>
      </w:r>
      <w:proofErr w:type="gramEnd"/>
      <w:r>
        <w:rPr>
          <w:rStyle w:val="FontStyle94"/>
        </w:rPr>
        <w:t>)</w:t>
      </w:r>
    </w:p>
    <w:p w:rsidR="00EF4B60" w:rsidRPr="001735F9" w:rsidRDefault="00EF4B60" w:rsidP="00F51C52">
      <w:pPr>
        <w:pStyle w:val="Style48"/>
        <w:widowControl/>
        <w:tabs>
          <w:tab w:val="right" w:pos="7938"/>
        </w:tabs>
        <w:spacing w:before="230" w:line="226" w:lineRule="exact"/>
        <w:rPr>
          <w:rStyle w:val="FontStyle95"/>
          <w:u w:val="single"/>
        </w:rPr>
      </w:pPr>
      <w:r>
        <w:rPr>
          <w:rStyle w:val="FontStyle95"/>
          <w:u w:val="single"/>
        </w:rPr>
        <w:t>Saldo de caja inicial:</w:t>
      </w:r>
    </w:p>
    <w:p w:rsidR="00EF4B60" w:rsidRPr="001735F9" w:rsidRDefault="00EF4B60" w:rsidP="00F51C52">
      <w:pPr>
        <w:pStyle w:val="Style68"/>
        <w:widowControl/>
        <w:tabs>
          <w:tab w:val="right" w:pos="7938"/>
        </w:tabs>
        <w:spacing w:line="226" w:lineRule="exact"/>
        <w:ind w:left="384"/>
        <w:jc w:val="left"/>
        <w:rPr>
          <w:rStyle w:val="FontStyle94"/>
        </w:rPr>
      </w:pPr>
      <w:r>
        <w:rPr>
          <w:rStyle w:val="FontStyle94"/>
        </w:rPr>
        <w:t>Transferencias desde la Cuenta de reserva para primas</w:t>
      </w:r>
      <w:r>
        <w:rPr>
          <w:rStyle w:val="FontStyle94"/>
        </w:rPr>
        <w:tab/>
        <w:t>2</w:t>
      </w:r>
      <w:proofErr w:type="gramStart"/>
      <w:r>
        <w:rPr>
          <w:rStyle w:val="FontStyle94"/>
        </w:rPr>
        <w:t>,952,296</w:t>
      </w:r>
      <w:proofErr w:type="gramEnd"/>
    </w:p>
    <w:p w:rsidR="00EF4B60" w:rsidRPr="001735F9" w:rsidRDefault="00EF4B60" w:rsidP="00F51C52">
      <w:pPr>
        <w:pStyle w:val="Style68"/>
        <w:widowControl/>
        <w:tabs>
          <w:tab w:val="right" w:pos="7938"/>
        </w:tabs>
        <w:spacing w:line="226" w:lineRule="exact"/>
        <w:ind w:left="384"/>
        <w:jc w:val="left"/>
        <w:rPr>
          <w:rStyle w:val="FontStyle94"/>
          <w:u w:val="single"/>
        </w:rPr>
      </w:pPr>
      <w:r>
        <w:rPr>
          <w:rStyle w:val="FontStyle94"/>
        </w:rPr>
        <w:t>Transferencias desde la Cuenta de vencimientos</w:t>
      </w:r>
      <w:r>
        <w:rPr>
          <w:rStyle w:val="FontStyle94"/>
        </w:rPr>
        <w:tab/>
      </w:r>
      <w:r>
        <w:rPr>
          <w:rStyle w:val="FontStyle94"/>
          <w:u w:val="single"/>
        </w:rPr>
        <w:t>7</w:t>
      </w:r>
      <w:proofErr w:type="gramStart"/>
      <w:r>
        <w:rPr>
          <w:rStyle w:val="FontStyle94"/>
          <w:u w:val="single"/>
        </w:rPr>
        <w:t>,007,999</w:t>
      </w:r>
      <w:proofErr w:type="gramEnd"/>
    </w:p>
    <w:p w:rsidR="00EF4B60" w:rsidRPr="001735F9" w:rsidRDefault="00EF4B60" w:rsidP="00F51C52">
      <w:pPr>
        <w:pStyle w:val="Style48"/>
        <w:widowControl/>
        <w:tabs>
          <w:tab w:val="right" w:pos="7938"/>
        </w:tabs>
        <w:spacing w:line="226" w:lineRule="exact"/>
        <w:jc w:val="both"/>
        <w:rPr>
          <w:rStyle w:val="FontStyle95"/>
          <w:u w:val="single"/>
        </w:rPr>
      </w:pPr>
      <w:r>
        <w:rPr>
          <w:rStyle w:val="FontStyle95"/>
        </w:rPr>
        <w:t>Saldo de caja inicial total</w:t>
      </w:r>
      <w:r w:rsidR="00585C61">
        <w:rPr>
          <w:rStyle w:val="FontStyle95"/>
        </w:rPr>
        <w:t xml:space="preserve"> </w:t>
      </w:r>
      <w:r>
        <w:rPr>
          <w:rStyle w:val="FontStyle95"/>
        </w:rPr>
        <w:tab/>
      </w:r>
      <w:r>
        <w:rPr>
          <w:rStyle w:val="FontStyle95"/>
          <w:u w:val="single"/>
        </w:rPr>
        <w:t>9</w:t>
      </w:r>
      <w:proofErr w:type="gramStart"/>
      <w:r>
        <w:rPr>
          <w:rStyle w:val="FontStyle95"/>
          <w:u w:val="single"/>
        </w:rPr>
        <w:t>,960,295</w:t>
      </w:r>
      <w:proofErr w:type="gramEnd"/>
    </w:p>
    <w:p w:rsidR="00EF4B60" w:rsidRPr="001735F9" w:rsidRDefault="00EF4B60" w:rsidP="00F51C52">
      <w:pPr>
        <w:pStyle w:val="Style48"/>
        <w:widowControl/>
        <w:tabs>
          <w:tab w:val="right" w:pos="7938"/>
        </w:tabs>
        <w:spacing w:before="197" w:line="226" w:lineRule="exact"/>
        <w:rPr>
          <w:rStyle w:val="FontStyle95"/>
          <w:u w:val="single"/>
        </w:rPr>
      </w:pPr>
      <w:r>
        <w:rPr>
          <w:rStyle w:val="FontStyle95"/>
          <w:u w:val="single"/>
        </w:rPr>
        <w:t>Entradas de efectivo</w:t>
      </w:r>
    </w:p>
    <w:p w:rsidR="00EF4B60" w:rsidRPr="001735F9" w:rsidRDefault="00EF4B60" w:rsidP="00F51C52">
      <w:pPr>
        <w:pStyle w:val="Style68"/>
        <w:widowControl/>
        <w:tabs>
          <w:tab w:val="right" w:pos="7938"/>
        </w:tabs>
        <w:spacing w:line="226" w:lineRule="exact"/>
        <w:ind w:left="384"/>
        <w:jc w:val="left"/>
        <w:rPr>
          <w:rStyle w:val="FontStyle94"/>
        </w:rPr>
      </w:pPr>
      <w:r>
        <w:rPr>
          <w:rStyle w:val="FontStyle94"/>
        </w:rPr>
        <w:t>Vencimientos de pólizas</w:t>
      </w:r>
      <w:r>
        <w:rPr>
          <w:rStyle w:val="FontStyle94"/>
        </w:rPr>
        <w:tab/>
        <w:t>10</w:t>
      </w:r>
      <w:proofErr w:type="gramStart"/>
      <w:r>
        <w:rPr>
          <w:rStyle w:val="FontStyle94"/>
        </w:rPr>
        <w:t>,243,191</w:t>
      </w:r>
      <w:proofErr w:type="gramEnd"/>
    </w:p>
    <w:p w:rsidR="00EF4B60" w:rsidRPr="001735F9" w:rsidRDefault="00EF4B60" w:rsidP="00F51C52">
      <w:pPr>
        <w:pStyle w:val="Style68"/>
        <w:widowControl/>
        <w:tabs>
          <w:tab w:val="right" w:pos="7938"/>
        </w:tabs>
        <w:spacing w:line="226" w:lineRule="exact"/>
        <w:ind w:left="384"/>
        <w:jc w:val="left"/>
        <w:rPr>
          <w:rStyle w:val="FontStyle94"/>
          <w:u w:val="single"/>
        </w:rPr>
      </w:pPr>
      <w:r>
        <w:rPr>
          <w:rStyle w:val="FontStyle94"/>
        </w:rPr>
        <w:t xml:space="preserve">Otros </w:t>
      </w:r>
      <w:r>
        <w:rPr>
          <w:rStyle w:val="FontStyle94"/>
        </w:rPr>
        <w:tab/>
      </w:r>
      <w:r>
        <w:rPr>
          <w:rStyle w:val="FontStyle94"/>
          <w:u w:val="single"/>
        </w:rPr>
        <w:t>1</w:t>
      </w:r>
      <w:proofErr w:type="gramStart"/>
      <w:r>
        <w:rPr>
          <w:rStyle w:val="FontStyle94"/>
          <w:u w:val="single"/>
        </w:rPr>
        <w:t>,677,723</w:t>
      </w:r>
      <w:proofErr w:type="gramEnd"/>
    </w:p>
    <w:p w:rsidR="00EF4B60" w:rsidRPr="001735F9" w:rsidRDefault="00EF4B60" w:rsidP="00F51C52">
      <w:pPr>
        <w:pStyle w:val="Style48"/>
        <w:widowControl/>
        <w:tabs>
          <w:tab w:val="right" w:pos="7938"/>
        </w:tabs>
        <w:spacing w:line="226" w:lineRule="exact"/>
        <w:jc w:val="both"/>
        <w:rPr>
          <w:rStyle w:val="FontStyle95"/>
          <w:u w:val="single"/>
        </w:rPr>
      </w:pPr>
      <w:r>
        <w:rPr>
          <w:rStyle w:val="FontStyle95"/>
        </w:rPr>
        <w:t xml:space="preserve">Total de entradas de efectivo </w:t>
      </w:r>
      <w:r>
        <w:rPr>
          <w:rStyle w:val="FontStyle95"/>
        </w:rPr>
        <w:tab/>
      </w:r>
      <w:r>
        <w:rPr>
          <w:rStyle w:val="FontStyle95"/>
          <w:u w:val="single"/>
        </w:rPr>
        <w:t>11</w:t>
      </w:r>
      <w:proofErr w:type="gramStart"/>
      <w:r>
        <w:rPr>
          <w:rStyle w:val="FontStyle95"/>
          <w:u w:val="single"/>
        </w:rPr>
        <w:t>,920,914</w:t>
      </w:r>
      <w:proofErr w:type="gramEnd"/>
    </w:p>
    <w:p w:rsidR="00EF4B60" w:rsidRPr="001735F9" w:rsidRDefault="00EF4B60" w:rsidP="00F51C52">
      <w:pPr>
        <w:pStyle w:val="Style48"/>
        <w:widowControl/>
        <w:tabs>
          <w:tab w:val="right" w:pos="7938"/>
        </w:tabs>
        <w:spacing w:before="211" w:line="221" w:lineRule="exact"/>
        <w:rPr>
          <w:rStyle w:val="FontStyle95"/>
          <w:u w:val="single"/>
        </w:rPr>
      </w:pPr>
      <w:r>
        <w:rPr>
          <w:rStyle w:val="FontStyle95"/>
          <w:u w:val="single"/>
        </w:rPr>
        <w:t>Desembolsos</w:t>
      </w:r>
    </w:p>
    <w:p w:rsidR="00EF4B60" w:rsidRPr="001735F9" w:rsidRDefault="00EF4B60" w:rsidP="00F51C52">
      <w:pPr>
        <w:pStyle w:val="Style68"/>
        <w:widowControl/>
        <w:tabs>
          <w:tab w:val="right" w:pos="7938"/>
        </w:tabs>
        <w:spacing w:line="221" w:lineRule="exact"/>
        <w:ind w:left="384"/>
        <w:jc w:val="left"/>
        <w:rPr>
          <w:rStyle w:val="FontStyle94"/>
          <w:u w:val="single"/>
        </w:rPr>
      </w:pPr>
      <w:r>
        <w:rPr>
          <w:rStyle w:val="FontStyle94"/>
          <w:u w:val="single"/>
        </w:rPr>
        <w:t>Gastos del portafolio de pólizas:</w:t>
      </w:r>
    </w:p>
    <w:p w:rsidR="00EF4B60" w:rsidRPr="001735F9" w:rsidRDefault="00EF4B60" w:rsidP="00F51C52">
      <w:pPr>
        <w:pStyle w:val="Style68"/>
        <w:widowControl/>
        <w:tabs>
          <w:tab w:val="right" w:pos="7938"/>
        </w:tabs>
        <w:spacing w:line="221" w:lineRule="exact"/>
        <w:ind w:left="312"/>
        <w:rPr>
          <w:rStyle w:val="FontStyle94"/>
        </w:rPr>
      </w:pPr>
      <w:r>
        <w:rPr>
          <w:rStyle w:val="FontStyle94"/>
        </w:rPr>
        <w:t>Pagos de primas</w:t>
      </w:r>
      <w:r>
        <w:rPr>
          <w:rStyle w:val="FontStyle94"/>
        </w:rPr>
        <w:tab/>
        <w:t>7</w:t>
      </w:r>
      <w:proofErr w:type="gramStart"/>
      <w:r>
        <w:rPr>
          <w:rStyle w:val="FontStyle94"/>
        </w:rPr>
        <w:t>,884,638</w:t>
      </w:r>
      <w:proofErr w:type="gramEnd"/>
    </w:p>
    <w:p w:rsidR="00EF4B60" w:rsidRPr="001735F9" w:rsidRDefault="00EF4B60" w:rsidP="00F51C52">
      <w:pPr>
        <w:pStyle w:val="Style68"/>
        <w:widowControl/>
        <w:tabs>
          <w:tab w:val="right" w:pos="7938"/>
        </w:tabs>
        <w:spacing w:line="221" w:lineRule="exact"/>
        <w:ind w:left="384"/>
        <w:rPr>
          <w:rStyle w:val="FontStyle94"/>
        </w:rPr>
      </w:pPr>
      <w:r>
        <w:rPr>
          <w:rStyle w:val="FontStyle94"/>
        </w:rPr>
        <w:t>Honorarios administrativos</w:t>
      </w:r>
      <w:r>
        <w:rPr>
          <w:rStyle w:val="FontStyle94"/>
        </w:rPr>
        <w:tab/>
        <w:t>1</w:t>
      </w:r>
      <w:proofErr w:type="gramStart"/>
      <w:r>
        <w:rPr>
          <w:rStyle w:val="FontStyle94"/>
        </w:rPr>
        <w:t>,528,552</w:t>
      </w:r>
      <w:proofErr w:type="gramEnd"/>
    </w:p>
    <w:p w:rsidR="00EF4B60" w:rsidRPr="001735F9" w:rsidRDefault="00EF4B60" w:rsidP="00F51C52">
      <w:pPr>
        <w:pStyle w:val="Style68"/>
        <w:widowControl/>
        <w:tabs>
          <w:tab w:val="right" w:pos="7938"/>
        </w:tabs>
        <w:spacing w:line="221" w:lineRule="exact"/>
        <w:ind w:left="317"/>
        <w:rPr>
          <w:rStyle w:val="FontStyle94"/>
          <w:u w:val="single"/>
        </w:rPr>
      </w:pPr>
      <w:r>
        <w:rPr>
          <w:rStyle w:val="FontStyle94"/>
        </w:rPr>
        <w:t xml:space="preserve">Honorarios de Mills, Potoczak </w:t>
      </w:r>
      <w:r>
        <w:rPr>
          <w:rStyle w:val="FontStyle94"/>
        </w:rPr>
        <w:tab/>
      </w:r>
      <w:r>
        <w:rPr>
          <w:rStyle w:val="FontStyle94"/>
          <w:u w:val="single"/>
        </w:rPr>
        <w:t>67,986</w:t>
      </w:r>
    </w:p>
    <w:p w:rsidR="00EF4B60" w:rsidRPr="001735F9" w:rsidRDefault="00EF4B60" w:rsidP="00F51C52">
      <w:pPr>
        <w:pStyle w:val="Style68"/>
        <w:widowControl/>
        <w:tabs>
          <w:tab w:val="right" w:pos="7938"/>
        </w:tabs>
        <w:spacing w:line="221" w:lineRule="exact"/>
        <w:ind w:left="384"/>
        <w:rPr>
          <w:rStyle w:val="FontStyle95"/>
          <w:u w:val="single"/>
        </w:rPr>
      </w:pPr>
      <w:r>
        <w:rPr>
          <w:rStyle w:val="FontStyle94"/>
        </w:rPr>
        <w:t xml:space="preserve">Total de gastos del portafolio de pólizas </w:t>
      </w:r>
      <w:r>
        <w:rPr>
          <w:rStyle w:val="FontStyle94"/>
        </w:rPr>
        <w:tab/>
      </w:r>
      <w:r>
        <w:rPr>
          <w:rStyle w:val="FontStyle95"/>
          <w:u w:val="single"/>
        </w:rPr>
        <w:t>9</w:t>
      </w:r>
      <w:proofErr w:type="gramStart"/>
      <w:r>
        <w:rPr>
          <w:rStyle w:val="FontStyle95"/>
          <w:u w:val="single"/>
        </w:rPr>
        <w:t>,481,176</w:t>
      </w:r>
      <w:proofErr w:type="gramEnd"/>
    </w:p>
    <w:p w:rsidR="00EF4B60" w:rsidRPr="001735F9" w:rsidRDefault="00EF4B60" w:rsidP="00F51C52">
      <w:pPr>
        <w:pStyle w:val="Style68"/>
        <w:widowControl/>
        <w:tabs>
          <w:tab w:val="right" w:pos="7938"/>
        </w:tabs>
        <w:spacing w:before="202" w:line="221" w:lineRule="exact"/>
        <w:ind w:left="384"/>
        <w:jc w:val="left"/>
        <w:rPr>
          <w:rStyle w:val="FontStyle94"/>
          <w:u w:val="single"/>
        </w:rPr>
      </w:pPr>
      <w:r>
        <w:rPr>
          <w:rStyle w:val="FontStyle94"/>
          <w:u w:val="single"/>
        </w:rPr>
        <w:t>Gastos de reestructuración</w:t>
      </w:r>
    </w:p>
    <w:p w:rsidR="00EF4B60" w:rsidRPr="001735F9" w:rsidRDefault="00EF4B60" w:rsidP="00F51C52">
      <w:pPr>
        <w:pStyle w:val="Style68"/>
        <w:widowControl/>
        <w:tabs>
          <w:tab w:val="right" w:pos="7938"/>
        </w:tabs>
        <w:spacing w:line="221" w:lineRule="exact"/>
        <w:ind w:left="379"/>
        <w:rPr>
          <w:rStyle w:val="FontStyle94"/>
        </w:rPr>
      </w:pPr>
      <w:r>
        <w:rPr>
          <w:rStyle w:val="FontStyle94"/>
        </w:rPr>
        <w:t>Reclamaciones no afectadas</w:t>
      </w:r>
      <w:r>
        <w:rPr>
          <w:rStyle w:val="FontStyle94"/>
        </w:rPr>
        <w:tab/>
        <w:t>782,378</w:t>
      </w:r>
    </w:p>
    <w:p w:rsidR="00EF4B60" w:rsidRPr="001735F9" w:rsidRDefault="00EF4B60" w:rsidP="00F51C52">
      <w:pPr>
        <w:pStyle w:val="Style68"/>
        <w:widowControl/>
        <w:tabs>
          <w:tab w:val="right" w:pos="7938"/>
        </w:tabs>
        <w:spacing w:line="221" w:lineRule="exact"/>
        <w:ind w:left="317"/>
        <w:rPr>
          <w:rStyle w:val="FontStyle94"/>
        </w:rPr>
      </w:pPr>
      <w:r>
        <w:rPr>
          <w:rStyle w:val="FontStyle94"/>
        </w:rPr>
        <w:t>Honorarios y desembolsos del Supervisor</w:t>
      </w:r>
      <w:r>
        <w:rPr>
          <w:rStyle w:val="FontStyle94"/>
        </w:rPr>
        <w:tab/>
        <w:t>373,509</w:t>
      </w:r>
    </w:p>
    <w:p w:rsidR="00EF4B60" w:rsidRPr="001735F9" w:rsidRDefault="00EF4B60" w:rsidP="00F51C52">
      <w:pPr>
        <w:pStyle w:val="Style68"/>
        <w:widowControl/>
        <w:tabs>
          <w:tab w:val="right" w:pos="7938"/>
        </w:tabs>
        <w:spacing w:line="221" w:lineRule="exact"/>
        <w:ind w:left="389"/>
        <w:jc w:val="left"/>
        <w:rPr>
          <w:rStyle w:val="FontStyle94"/>
        </w:rPr>
      </w:pPr>
      <w:r>
        <w:rPr>
          <w:rStyle w:val="FontStyle94"/>
        </w:rPr>
        <w:t>Honorarios legales y desembolsos:</w:t>
      </w:r>
    </w:p>
    <w:p w:rsidR="00EF4B60" w:rsidRPr="001735F9" w:rsidRDefault="00EF4B60" w:rsidP="00F51C52">
      <w:pPr>
        <w:pStyle w:val="Style68"/>
        <w:widowControl/>
        <w:tabs>
          <w:tab w:val="right" w:pos="7938"/>
        </w:tabs>
        <w:spacing w:line="221" w:lineRule="exact"/>
        <w:ind w:left="686"/>
        <w:jc w:val="left"/>
        <w:rPr>
          <w:rStyle w:val="FontStyle94"/>
        </w:rPr>
      </w:pPr>
      <w:r>
        <w:rPr>
          <w:rStyle w:val="FontStyle94"/>
        </w:rPr>
        <w:t>Ogilvy Renault LLP</w:t>
      </w:r>
      <w:r>
        <w:rPr>
          <w:rStyle w:val="FontStyle94"/>
        </w:rPr>
        <w:tab/>
        <w:t>80,684</w:t>
      </w:r>
    </w:p>
    <w:p w:rsidR="00EF4B60" w:rsidRPr="008D7DDC" w:rsidRDefault="00EF4B60" w:rsidP="00F51C52">
      <w:pPr>
        <w:pStyle w:val="Style68"/>
        <w:widowControl/>
        <w:tabs>
          <w:tab w:val="right" w:pos="7938"/>
        </w:tabs>
        <w:spacing w:line="221" w:lineRule="exact"/>
        <w:ind w:left="686"/>
        <w:jc w:val="left"/>
        <w:rPr>
          <w:rStyle w:val="FontStyle94"/>
          <w:lang w:val="en-US"/>
        </w:rPr>
      </w:pPr>
      <w:r w:rsidRPr="008D7DDC">
        <w:rPr>
          <w:rStyle w:val="FontStyle94"/>
          <w:lang w:val="en-US"/>
        </w:rPr>
        <w:t>Rueter Scargall Bennett LLP</w:t>
      </w:r>
      <w:r w:rsidRPr="008D7DDC">
        <w:rPr>
          <w:rStyle w:val="FontStyle94"/>
          <w:lang w:val="en-US"/>
        </w:rPr>
        <w:tab/>
        <w:t>59,009</w:t>
      </w:r>
    </w:p>
    <w:p w:rsidR="00EF4B60" w:rsidRPr="008D7DDC" w:rsidRDefault="00EF4B60" w:rsidP="00F51C52">
      <w:pPr>
        <w:pStyle w:val="Style68"/>
        <w:widowControl/>
        <w:tabs>
          <w:tab w:val="right" w:pos="7938"/>
        </w:tabs>
        <w:spacing w:line="221" w:lineRule="exact"/>
        <w:ind w:left="686"/>
        <w:jc w:val="left"/>
        <w:rPr>
          <w:rStyle w:val="FontStyle94"/>
          <w:u w:val="single"/>
          <w:lang w:val="en-US"/>
        </w:rPr>
      </w:pPr>
      <w:r w:rsidRPr="008D7DDC">
        <w:rPr>
          <w:rStyle w:val="FontStyle94"/>
          <w:lang w:val="en-US"/>
        </w:rPr>
        <w:t xml:space="preserve">Blake, Cassels and Graydon LLP </w:t>
      </w:r>
      <w:r w:rsidRPr="008D7DDC">
        <w:rPr>
          <w:rStyle w:val="FontStyle94"/>
          <w:lang w:val="en-US"/>
        </w:rPr>
        <w:tab/>
      </w:r>
      <w:r w:rsidRPr="008D7DDC">
        <w:rPr>
          <w:rStyle w:val="FontStyle94"/>
          <w:u w:val="single"/>
          <w:lang w:val="en-US"/>
        </w:rPr>
        <w:t>43,453</w:t>
      </w:r>
    </w:p>
    <w:p w:rsidR="00EF4B60" w:rsidRPr="001735F9" w:rsidRDefault="00EF4B60" w:rsidP="00F51C52">
      <w:pPr>
        <w:pStyle w:val="Style68"/>
        <w:widowControl/>
        <w:tabs>
          <w:tab w:val="right" w:pos="7938"/>
        </w:tabs>
        <w:spacing w:line="221" w:lineRule="exact"/>
        <w:ind w:left="384"/>
        <w:rPr>
          <w:rStyle w:val="FontStyle95"/>
          <w:u w:val="single"/>
        </w:rPr>
      </w:pPr>
      <w:r>
        <w:rPr>
          <w:rStyle w:val="FontStyle94"/>
        </w:rPr>
        <w:t xml:space="preserve">Total de gastos de reestructuración </w:t>
      </w:r>
      <w:r>
        <w:rPr>
          <w:rStyle w:val="FontStyle94"/>
        </w:rPr>
        <w:tab/>
      </w:r>
      <w:r>
        <w:rPr>
          <w:rStyle w:val="FontStyle95"/>
          <w:u w:val="single"/>
        </w:rPr>
        <w:t>1</w:t>
      </w:r>
      <w:proofErr w:type="gramStart"/>
      <w:r>
        <w:rPr>
          <w:rStyle w:val="FontStyle95"/>
          <w:u w:val="single"/>
        </w:rPr>
        <w:t>,339,032</w:t>
      </w:r>
      <w:proofErr w:type="gramEnd"/>
    </w:p>
    <w:p w:rsidR="00EF4B60" w:rsidRPr="001735F9" w:rsidRDefault="00EF4B60" w:rsidP="00F51C52">
      <w:pPr>
        <w:pStyle w:val="Style68"/>
        <w:widowControl/>
        <w:tabs>
          <w:tab w:val="right" w:pos="7938"/>
        </w:tabs>
        <w:spacing w:before="216" w:line="221" w:lineRule="exact"/>
        <w:ind w:left="379"/>
        <w:jc w:val="left"/>
        <w:rPr>
          <w:rStyle w:val="FontStyle94"/>
          <w:u w:val="single"/>
        </w:rPr>
      </w:pPr>
      <w:r>
        <w:rPr>
          <w:rStyle w:val="FontStyle94"/>
          <w:u w:val="single"/>
        </w:rPr>
        <w:t>Otros gastos</w:t>
      </w:r>
      <w:r>
        <w:rPr>
          <w:rStyle w:val="FontStyle94"/>
        </w:rPr>
        <w:t>:</w:t>
      </w:r>
    </w:p>
    <w:p w:rsidR="00EF4B60" w:rsidRPr="001735F9" w:rsidRDefault="00EF4B60" w:rsidP="00F51C52">
      <w:pPr>
        <w:pStyle w:val="Style68"/>
        <w:widowControl/>
        <w:tabs>
          <w:tab w:val="right" w:pos="7938"/>
        </w:tabs>
        <w:spacing w:line="221" w:lineRule="exact"/>
        <w:ind w:left="379"/>
        <w:rPr>
          <w:rStyle w:val="FontStyle94"/>
        </w:rPr>
      </w:pPr>
      <w:r>
        <w:rPr>
          <w:rStyle w:val="FontStyle94"/>
        </w:rPr>
        <w:t>Contribución para litigios</w:t>
      </w:r>
      <w:r>
        <w:rPr>
          <w:rStyle w:val="FontStyle94"/>
        </w:rPr>
        <w:tab/>
        <w:t>518,071</w:t>
      </w:r>
    </w:p>
    <w:p w:rsidR="00EF4B60" w:rsidRPr="001735F9" w:rsidRDefault="00EF4B60" w:rsidP="00F51C52">
      <w:pPr>
        <w:pStyle w:val="Style68"/>
        <w:widowControl/>
        <w:tabs>
          <w:tab w:val="right" w:pos="7938"/>
        </w:tabs>
        <w:spacing w:before="5" w:line="221" w:lineRule="exact"/>
        <w:ind w:left="384"/>
        <w:rPr>
          <w:rStyle w:val="FontStyle94"/>
        </w:rPr>
      </w:pPr>
      <w:r>
        <w:rPr>
          <w:rStyle w:val="FontStyle94"/>
        </w:rPr>
        <w:t xml:space="preserve">Cargos bancarios </w:t>
      </w:r>
      <w:r>
        <w:rPr>
          <w:rStyle w:val="FontStyle94"/>
        </w:rPr>
        <w:tab/>
        <w:t>820</w:t>
      </w:r>
    </w:p>
    <w:p w:rsidR="00EF4B60" w:rsidRPr="001735F9" w:rsidRDefault="00EF4B60" w:rsidP="00F51C52">
      <w:pPr>
        <w:pStyle w:val="Style68"/>
        <w:widowControl/>
        <w:tabs>
          <w:tab w:val="right" w:pos="7938"/>
        </w:tabs>
        <w:spacing w:line="221" w:lineRule="exact"/>
        <w:ind w:left="374"/>
        <w:rPr>
          <w:rStyle w:val="FontStyle95"/>
          <w:u w:val="single"/>
        </w:rPr>
      </w:pPr>
      <w:r>
        <w:rPr>
          <w:rStyle w:val="FontStyle94"/>
        </w:rPr>
        <w:t xml:space="preserve">Total de otros gastos </w:t>
      </w:r>
      <w:r>
        <w:rPr>
          <w:rStyle w:val="FontStyle94"/>
        </w:rPr>
        <w:tab/>
      </w:r>
      <w:r>
        <w:rPr>
          <w:rStyle w:val="FontStyle95"/>
          <w:u w:val="single"/>
        </w:rPr>
        <w:t>518,890</w:t>
      </w:r>
    </w:p>
    <w:p w:rsidR="00EF4B60" w:rsidRPr="001735F9" w:rsidRDefault="00EF4B60" w:rsidP="00F51C52">
      <w:pPr>
        <w:pStyle w:val="Style48"/>
        <w:widowControl/>
        <w:tabs>
          <w:tab w:val="right" w:pos="7938"/>
        </w:tabs>
        <w:spacing w:line="240" w:lineRule="exact"/>
        <w:jc w:val="both"/>
        <w:rPr>
          <w:sz w:val="20"/>
          <w:szCs w:val="20"/>
        </w:rPr>
      </w:pPr>
    </w:p>
    <w:p w:rsidR="00EF4B60" w:rsidRPr="001735F9" w:rsidRDefault="00EF4B60" w:rsidP="00F51C52">
      <w:pPr>
        <w:pStyle w:val="Style48"/>
        <w:widowControl/>
        <w:tabs>
          <w:tab w:val="right" w:pos="7938"/>
        </w:tabs>
        <w:spacing w:before="5"/>
        <w:jc w:val="both"/>
        <w:rPr>
          <w:rStyle w:val="FontStyle95"/>
          <w:u w:val="single"/>
        </w:rPr>
      </w:pPr>
      <w:r>
        <w:rPr>
          <w:rStyle w:val="FontStyle95"/>
        </w:rPr>
        <w:t xml:space="preserve">Total de desembolsos </w:t>
      </w:r>
      <w:r>
        <w:rPr>
          <w:rStyle w:val="FontStyle95"/>
        </w:rPr>
        <w:tab/>
      </w:r>
      <w:r>
        <w:rPr>
          <w:rStyle w:val="FontStyle95"/>
          <w:u w:val="single"/>
        </w:rPr>
        <w:t>11</w:t>
      </w:r>
      <w:proofErr w:type="gramStart"/>
      <w:r>
        <w:rPr>
          <w:rStyle w:val="FontStyle95"/>
          <w:u w:val="single"/>
        </w:rPr>
        <w:t>,339,099</w:t>
      </w:r>
      <w:proofErr w:type="gramEnd"/>
    </w:p>
    <w:p w:rsidR="00EF4B60" w:rsidRPr="001735F9" w:rsidRDefault="00EF4B60" w:rsidP="00F51C52">
      <w:pPr>
        <w:pStyle w:val="Style48"/>
        <w:widowControl/>
        <w:tabs>
          <w:tab w:val="right" w:pos="7938"/>
        </w:tabs>
        <w:spacing w:line="240" w:lineRule="exact"/>
        <w:jc w:val="both"/>
        <w:rPr>
          <w:sz w:val="20"/>
          <w:szCs w:val="20"/>
        </w:rPr>
      </w:pPr>
    </w:p>
    <w:p w:rsidR="00EF4B60" w:rsidRPr="001735F9" w:rsidRDefault="00EF4B60" w:rsidP="00F51C52">
      <w:pPr>
        <w:pStyle w:val="Style48"/>
        <w:widowControl/>
        <w:tabs>
          <w:tab w:val="right" w:pos="7938"/>
        </w:tabs>
        <w:spacing w:before="29" w:line="192" w:lineRule="exact"/>
        <w:jc w:val="both"/>
        <w:rPr>
          <w:rStyle w:val="FontStyle95"/>
          <w:position w:val="2"/>
          <w:u w:val="single"/>
        </w:rPr>
      </w:pPr>
      <w:r>
        <w:rPr>
          <w:rStyle w:val="FontStyle95"/>
          <w:position w:val="2"/>
        </w:rPr>
        <w:t xml:space="preserve">Entradas de efectivo por encima de los desembolsos </w:t>
      </w:r>
      <w:r>
        <w:rPr>
          <w:rStyle w:val="FontStyle95"/>
          <w:position w:val="2"/>
        </w:rPr>
        <w:tab/>
      </w:r>
      <w:r>
        <w:rPr>
          <w:rStyle w:val="FontStyle95"/>
          <w:position w:val="2"/>
          <w:u w:val="single"/>
        </w:rPr>
        <w:t>581,815</w:t>
      </w:r>
    </w:p>
    <w:p w:rsidR="00EF4B60" w:rsidRPr="001735F9" w:rsidRDefault="00EF4B60" w:rsidP="00F51C52">
      <w:pPr>
        <w:pStyle w:val="Style21"/>
        <w:widowControl/>
        <w:tabs>
          <w:tab w:val="right" w:pos="7938"/>
        </w:tabs>
        <w:spacing w:before="240" w:line="240" w:lineRule="auto"/>
        <w:jc w:val="both"/>
        <w:rPr>
          <w:rStyle w:val="FontStyle94"/>
        </w:rPr>
      </w:pPr>
      <w:r>
        <w:rPr>
          <w:rStyle w:val="FontStyle94"/>
        </w:rPr>
        <w:t>Ganancia</w:t>
      </w:r>
      <w:proofErr w:type="gramStart"/>
      <w:r>
        <w:rPr>
          <w:rStyle w:val="FontStyle94"/>
        </w:rPr>
        <w:t>/(</w:t>
      </w:r>
      <w:proofErr w:type="gramEnd"/>
      <w:r>
        <w:rPr>
          <w:rStyle w:val="FontStyle94"/>
        </w:rPr>
        <w:t xml:space="preserve">pérdida) por conversión de moneda extranjera </w:t>
      </w:r>
      <w:r>
        <w:rPr>
          <w:rStyle w:val="FontStyle94"/>
        </w:rPr>
        <w:tab/>
        <w:t>8,425</w:t>
      </w:r>
    </w:p>
    <w:p w:rsidR="00EF4B60" w:rsidRPr="001735F9" w:rsidRDefault="00EF4B60" w:rsidP="00F51C52">
      <w:pPr>
        <w:pStyle w:val="Style48"/>
        <w:widowControl/>
        <w:tabs>
          <w:tab w:val="right" w:pos="7938"/>
        </w:tabs>
        <w:spacing w:line="240" w:lineRule="exact"/>
        <w:jc w:val="both"/>
        <w:rPr>
          <w:sz w:val="20"/>
          <w:szCs w:val="20"/>
        </w:rPr>
      </w:pPr>
    </w:p>
    <w:p w:rsidR="00EF4B60" w:rsidRPr="001735F9" w:rsidRDefault="00EF4B60" w:rsidP="00F51C52">
      <w:pPr>
        <w:pStyle w:val="Style48"/>
        <w:widowControl/>
        <w:tabs>
          <w:tab w:val="right" w:pos="7938"/>
        </w:tabs>
        <w:spacing w:before="14"/>
        <w:jc w:val="both"/>
        <w:rPr>
          <w:rStyle w:val="FontStyle95"/>
          <w:u w:val="single"/>
        </w:rPr>
      </w:pPr>
      <w:r>
        <w:rPr>
          <w:rStyle w:val="FontStyle95"/>
        </w:rPr>
        <w:t xml:space="preserve">Saldo de caja final, 30 de septiembre de 2010 </w:t>
      </w:r>
      <w:r>
        <w:rPr>
          <w:rStyle w:val="FontStyle95"/>
        </w:rPr>
        <w:tab/>
      </w:r>
      <w:r>
        <w:rPr>
          <w:rStyle w:val="FontStyle95"/>
          <w:u w:val="single"/>
        </w:rPr>
        <w:t>10</w:t>
      </w:r>
      <w:proofErr w:type="gramStart"/>
      <w:r>
        <w:rPr>
          <w:rStyle w:val="FontStyle95"/>
          <w:u w:val="single"/>
        </w:rPr>
        <w:t>,550,535</w:t>
      </w:r>
      <w:proofErr w:type="gramEnd"/>
    </w:p>
    <w:p w:rsidR="00EF4B60" w:rsidRPr="001735F9" w:rsidRDefault="00EF4B60" w:rsidP="00F51C52">
      <w:pPr>
        <w:pStyle w:val="Style48"/>
        <w:widowControl/>
        <w:spacing w:line="240" w:lineRule="exact"/>
        <w:rPr>
          <w:sz w:val="20"/>
          <w:szCs w:val="20"/>
        </w:rPr>
      </w:pPr>
    </w:p>
    <w:p w:rsidR="00EF4B60" w:rsidRPr="001735F9" w:rsidRDefault="00EF4B60" w:rsidP="00F51C52">
      <w:pPr>
        <w:pStyle w:val="Style48"/>
        <w:widowControl/>
        <w:spacing w:line="240" w:lineRule="exact"/>
        <w:rPr>
          <w:sz w:val="20"/>
          <w:szCs w:val="20"/>
        </w:rPr>
      </w:pPr>
    </w:p>
    <w:p w:rsidR="00EF4B60" w:rsidRPr="001735F9" w:rsidRDefault="00EF4B60" w:rsidP="00F51C52">
      <w:pPr>
        <w:pStyle w:val="Style48"/>
        <w:widowControl/>
        <w:spacing w:before="14" w:line="360" w:lineRule="auto"/>
        <w:rPr>
          <w:rStyle w:val="FontStyle95"/>
          <w:u w:val="single"/>
        </w:rPr>
      </w:pPr>
      <w:r>
        <w:rPr>
          <w:rStyle w:val="FontStyle95"/>
          <w:u w:val="single"/>
        </w:rPr>
        <w:t>Notas:</w:t>
      </w:r>
    </w:p>
    <w:p w:rsidR="00EF4B60" w:rsidRPr="001735F9" w:rsidRDefault="00EF4B60" w:rsidP="00F51C52">
      <w:pPr>
        <w:pStyle w:val="Style21"/>
        <w:widowControl/>
        <w:spacing w:line="240" w:lineRule="auto"/>
        <w:ind w:right="51"/>
        <w:rPr>
          <w:rStyle w:val="FontStyle94"/>
        </w:rPr>
      </w:pPr>
      <w:r>
        <w:rPr>
          <w:rStyle w:val="FontStyle94"/>
        </w:rPr>
        <w:t xml:space="preserve">Todos los saldos de caja son registrados por USI según su valor contable. </w:t>
      </w:r>
    </w:p>
    <w:p w:rsidR="00EF4B60" w:rsidRDefault="00EF4B60" w:rsidP="00F51C52">
      <w:pPr>
        <w:pStyle w:val="Style21"/>
        <w:widowControl/>
        <w:spacing w:line="240" w:lineRule="auto"/>
        <w:ind w:right="51"/>
        <w:rPr>
          <w:rStyle w:val="FontStyle94"/>
        </w:rPr>
      </w:pPr>
    </w:p>
    <w:p w:rsidR="00EF4B60" w:rsidRPr="001735F9" w:rsidRDefault="00EF4B60" w:rsidP="00F51C52">
      <w:pPr>
        <w:pStyle w:val="Style21"/>
        <w:widowControl/>
        <w:spacing w:line="240" w:lineRule="auto"/>
        <w:rPr>
          <w:rStyle w:val="FontStyle94"/>
        </w:rPr>
      </w:pPr>
      <w:r>
        <w:rPr>
          <w:rStyle w:val="FontStyle94"/>
        </w:rPr>
        <w:t>Se utilizó una tasa de cambio de USD/CAD 0.95.</w:t>
      </w:r>
    </w:p>
    <w:p w:rsidR="00EF4B60" w:rsidRDefault="00EF4B60" w:rsidP="00F51C52">
      <w:pPr>
        <w:pStyle w:val="Style68"/>
        <w:widowControl/>
        <w:spacing w:line="240" w:lineRule="auto"/>
        <w:jc w:val="left"/>
        <w:rPr>
          <w:rStyle w:val="FontStyle94"/>
        </w:rPr>
      </w:pPr>
    </w:p>
    <w:p w:rsidR="00EF4B60" w:rsidRPr="00BA5225" w:rsidRDefault="00EF4B60" w:rsidP="00F51C52">
      <w:pPr>
        <w:pStyle w:val="Style68"/>
        <w:widowControl/>
        <w:spacing w:line="240" w:lineRule="auto"/>
        <w:ind w:right="2558"/>
        <w:jc w:val="left"/>
        <w:rPr>
          <w:rStyle w:val="FontStyle94"/>
        </w:rPr>
      </w:pPr>
      <w:r>
        <w:rPr>
          <w:rStyle w:val="FontStyle94"/>
        </w:rPr>
        <w:t>La ganancia/pérdida por conversión de moneda extranjera es la diferencia entre las transferencias realizadas durante el Período del Informe según la tasa variable real y la tasa de cambio utilizada en el flujo de caja.</w:t>
      </w:r>
    </w:p>
    <w:p w:rsidR="00EF4B60" w:rsidRDefault="00EF4B60" w:rsidP="00F51C52">
      <w:pPr>
        <w:pStyle w:val="Style79"/>
        <w:widowControl/>
        <w:jc w:val="center"/>
        <w:sectPr w:rsidR="00EF4B60" w:rsidSect="00915E8A">
          <w:headerReference w:type="default" r:id="rId13"/>
          <w:pgSz w:w="12242" w:h="15842" w:code="1"/>
          <w:pgMar w:top="1440" w:right="1440" w:bottom="1440" w:left="1440" w:header="720" w:footer="720" w:gutter="0"/>
          <w:pgNumType w:fmt="numberInDash"/>
          <w:cols w:space="60"/>
          <w:noEndnote/>
        </w:sect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center"/>
        <w:rPr>
          <w:rStyle w:val="FontStyle101"/>
        </w:rPr>
      </w:pPr>
      <w:r>
        <w:rPr>
          <w:rStyle w:val="FontStyle101"/>
        </w:rPr>
        <w:t>Apéndice “C”</w:t>
      </w:r>
    </w:p>
    <w:p w:rsidR="00EF4B60" w:rsidRPr="001735F9" w:rsidRDefault="00EF4B60" w:rsidP="00F51C52">
      <w:pPr>
        <w:pStyle w:val="Style78"/>
        <w:widowControl/>
        <w:ind w:left="3379" w:right="2765"/>
        <w:rPr>
          <w:rStyle w:val="FontStyle97"/>
          <w:rFonts w:ascii="Times New Roman" w:hAnsi="Times New Roman" w:cs="Times New Roman"/>
        </w:rPr>
      </w:pPr>
    </w:p>
    <w:p w:rsidR="00EF4B60" w:rsidRPr="00EC29C6" w:rsidRDefault="00EF4B60" w:rsidP="00F51C52">
      <w:pPr>
        <w:pStyle w:val="Style14"/>
        <w:widowControl/>
        <w:rPr>
          <w:rStyle w:val="FontStyle91"/>
          <w:sz w:val="18"/>
          <w:szCs w:val="18"/>
        </w:rPr>
      </w:pPr>
      <w:r>
        <w:br w:type="page"/>
      </w:r>
      <w:r w:rsidRPr="00EC29C6">
        <w:rPr>
          <w:rStyle w:val="FontStyle91"/>
          <w:sz w:val="18"/>
          <w:szCs w:val="18"/>
        </w:rPr>
        <w:lastRenderedPageBreak/>
        <w:t>APÉNDICE “C”</w:t>
      </w:r>
    </w:p>
    <w:p w:rsidR="00EF4B60" w:rsidRPr="00EC29C6" w:rsidRDefault="00EF4B60" w:rsidP="00F51C52">
      <w:pPr>
        <w:pStyle w:val="Style14"/>
        <w:widowControl/>
        <w:rPr>
          <w:rStyle w:val="FontStyle97"/>
          <w:rFonts w:ascii="Times New Roman" w:hAnsi="Times New Roman" w:cs="Times New Roman"/>
          <w:sz w:val="18"/>
          <w:szCs w:val="18"/>
        </w:rPr>
      </w:pPr>
      <w:r w:rsidRPr="00EC29C6">
        <w:rPr>
          <w:rStyle w:val="FontStyle91"/>
          <w:sz w:val="18"/>
          <w:szCs w:val="18"/>
        </w:rPr>
        <w:t>PREPARADO POR USI</w:t>
      </w:r>
    </w:p>
    <w:p w:rsidR="00EF4B60" w:rsidRPr="001735F9" w:rsidRDefault="00EF4B60" w:rsidP="00F51C52">
      <w:pPr>
        <w:pStyle w:val="Style14"/>
        <w:widowControl/>
        <w:spacing w:line="240" w:lineRule="exact"/>
        <w:rPr>
          <w:sz w:val="20"/>
          <w:szCs w:val="20"/>
        </w:rPr>
      </w:pPr>
    </w:p>
    <w:p w:rsidR="00EF4B60" w:rsidRPr="001735F9" w:rsidRDefault="00EF4B60" w:rsidP="00F51C52">
      <w:pPr>
        <w:pStyle w:val="Style14"/>
        <w:widowControl/>
        <w:spacing w:line="274" w:lineRule="exact"/>
        <w:rPr>
          <w:rStyle w:val="FontStyle91"/>
        </w:rPr>
      </w:pPr>
      <w:r>
        <w:rPr>
          <w:rStyle w:val="FontStyle91"/>
        </w:rPr>
        <w:t xml:space="preserve">UNIVERSAL SETTLEMENTS INTERNATIONAL INC. </w:t>
      </w:r>
    </w:p>
    <w:p w:rsidR="00EF4B60" w:rsidRPr="001735F9" w:rsidRDefault="00EF4B60" w:rsidP="00F51C52">
      <w:pPr>
        <w:pStyle w:val="Style14"/>
        <w:widowControl/>
        <w:spacing w:line="274" w:lineRule="exact"/>
        <w:rPr>
          <w:rStyle w:val="FontStyle91"/>
        </w:rPr>
      </w:pPr>
      <w:r>
        <w:rPr>
          <w:rStyle w:val="FontStyle91"/>
        </w:rPr>
        <w:t xml:space="preserve">Comparación del Flujo de caja en la Cuenta de fideicomiso supervisada con el Modelo financiero </w:t>
      </w:r>
    </w:p>
    <w:p w:rsidR="00EF4B60" w:rsidRPr="001735F9" w:rsidRDefault="00EF4B60" w:rsidP="00F51C52">
      <w:pPr>
        <w:pStyle w:val="Style14"/>
        <w:widowControl/>
        <w:spacing w:line="274" w:lineRule="exact"/>
        <w:rPr>
          <w:rStyle w:val="FontStyle91"/>
        </w:rPr>
      </w:pPr>
      <w:r>
        <w:rPr>
          <w:rStyle w:val="FontStyle91"/>
        </w:rPr>
        <w:t>Del 21 de julio de 2009 al 30 de septiembre de 2010</w:t>
      </w:r>
    </w:p>
    <w:p w:rsidR="00EF4B60" w:rsidRPr="00EC29C6" w:rsidRDefault="00EF4B60" w:rsidP="00F51C52">
      <w:pPr>
        <w:pStyle w:val="Style35"/>
        <w:widowControl/>
        <w:spacing w:before="24"/>
        <w:jc w:val="center"/>
        <w:rPr>
          <w:rStyle w:val="FontStyle96"/>
          <w:sz w:val="18"/>
          <w:szCs w:val="18"/>
        </w:rPr>
      </w:pPr>
      <w:r w:rsidRPr="00EC29C6">
        <w:rPr>
          <w:rStyle w:val="FontStyle96"/>
          <w:sz w:val="18"/>
          <w:szCs w:val="18"/>
        </w:rPr>
        <w:t>(</w:t>
      </w:r>
      <w:proofErr w:type="gramStart"/>
      <w:r w:rsidRPr="00EC29C6">
        <w:rPr>
          <w:rStyle w:val="FontStyle96"/>
          <w:sz w:val="18"/>
          <w:szCs w:val="18"/>
        </w:rPr>
        <w:t>aproximadamente</w:t>
      </w:r>
      <w:proofErr w:type="gramEnd"/>
      <w:r w:rsidRPr="00EC29C6">
        <w:rPr>
          <w:rStyle w:val="FontStyle96"/>
          <w:sz w:val="18"/>
          <w:szCs w:val="18"/>
        </w:rPr>
        <w:t xml:space="preserve"> catorce meses)</w:t>
      </w:r>
    </w:p>
    <w:p w:rsidR="00EF4B60" w:rsidRPr="001735F9" w:rsidRDefault="00EF4B60" w:rsidP="00F51C52">
      <w:pPr>
        <w:pStyle w:val="Style35"/>
        <w:widowControl/>
        <w:spacing w:before="24"/>
        <w:jc w:val="left"/>
        <w:rPr>
          <w:rStyle w:val="FontStyle96"/>
          <w:sz w:val="16"/>
          <w:szCs w:val="16"/>
        </w:rPr>
      </w:pPr>
    </w:p>
    <w:p w:rsidR="00EF4B60" w:rsidRPr="001735F9" w:rsidRDefault="00EF4B60" w:rsidP="00F51C52">
      <w:pPr>
        <w:pStyle w:val="Style35"/>
        <w:widowControl/>
        <w:spacing w:before="24"/>
        <w:rPr>
          <w:rStyle w:val="FontStyle96"/>
          <w:sz w:val="16"/>
          <w:szCs w:val="16"/>
        </w:rPr>
      </w:pPr>
      <w:r>
        <w:rPr>
          <w:rStyle w:val="FontStyle96"/>
          <w:sz w:val="16"/>
        </w:rPr>
        <w:t xml:space="preserve">($ </w:t>
      </w:r>
      <w:proofErr w:type="gramStart"/>
      <w:r w:rsidR="00775BEE">
        <w:rPr>
          <w:rStyle w:val="FontStyle96"/>
          <w:sz w:val="16"/>
        </w:rPr>
        <w:t>c</w:t>
      </w:r>
      <w:r>
        <w:rPr>
          <w:rStyle w:val="FontStyle96"/>
          <w:sz w:val="16"/>
        </w:rPr>
        <w:t>anadienses</w:t>
      </w:r>
      <w:proofErr w:type="gramEnd"/>
      <w:r>
        <w:rPr>
          <w:rStyle w:val="FontStyle96"/>
          <w:sz w:val="16"/>
        </w:rPr>
        <w:t>)</w:t>
      </w:r>
    </w:p>
    <w:p w:rsidR="00EF4B60" w:rsidRPr="001735F9" w:rsidRDefault="00EF4B60" w:rsidP="00F51C52">
      <w:pPr>
        <w:pStyle w:val="Style35"/>
        <w:widowControl/>
        <w:spacing w:before="24"/>
        <w:ind w:left="3072"/>
        <w:jc w:val="left"/>
        <w:rPr>
          <w:rStyle w:val="FontStyle96"/>
          <w:sz w:val="16"/>
          <w:szCs w:val="16"/>
        </w:rPr>
      </w:pPr>
    </w:p>
    <w:tbl>
      <w:tblPr>
        <w:tblW w:w="0" w:type="auto"/>
        <w:tblInd w:w="40" w:type="dxa"/>
        <w:tblLayout w:type="fixed"/>
        <w:tblCellMar>
          <w:left w:w="40" w:type="dxa"/>
          <w:right w:w="40" w:type="dxa"/>
        </w:tblCellMar>
        <w:tblLook w:val="0000"/>
      </w:tblPr>
      <w:tblGrid>
        <w:gridCol w:w="5103"/>
        <w:gridCol w:w="1134"/>
        <w:gridCol w:w="1134"/>
        <w:gridCol w:w="1134"/>
      </w:tblGrid>
      <w:tr w:rsidR="00EF4B60" w:rsidRPr="001735F9" w:rsidTr="00915E8A">
        <w:tblPrEx>
          <w:tblCellMar>
            <w:top w:w="0" w:type="dxa"/>
            <w:bottom w:w="0" w:type="dxa"/>
          </w:tblCellMar>
        </w:tblPrEx>
        <w:tc>
          <w:tcPr>
            <w:tcW w:w="5103" w:type="dxa"/>
            <w:tcBorders>
              <w:top w:val="nil"/>
              <w:left w:val="nil"/>
              <w:right w:val="nil"/>
            </w:tcBorders>
          </w:tcPr>
          <w:p w:rsidR="00EF4B60" w:rsidRPr="001735F9" w:rsidRDefault="00EF4B60" w:rsidP="00F51C52">
            <w:pPr>
              <w:pStyle w:val="Style61"/>
              <w:widowControl/>
              <w:rPr>
                <w:rStyle w:val="FontStyle99"/>
                <w:sz w:val="16"/>
                <w:szCs w:val="16"/>
              </w:rPr>
            </w:pPr>
          </w:p>
        </w:tc>
        <w:tc>
          <w:tcPr>
            <w:tcW w:w="1134" w:type="dxa"/>
            <w:tcBorders>
              <w:top w:val="nil"/>
              <w:left w:val="nil"/>
              <w:right w:val="nil"/>
            </w:tcBorders>
          </w:tcPr>
          <w:p w:rsidR="00EF4B60" w:rsidRPr="001735F9" w:rsidRDefault="00EF4B60" w:rsidP="00F51C52">
            <w:pPr>
              <w:pStyle w:val="Style34"/>
              <w:widowControl/>
              <w:jc w:val="center"/>
              <w:rPr>
                <w:rStyle w:val="FontStyle96"/>
                <w:sz w:val="16"/>
                <w:szCs w:val="16"/>
                <w:u w:val="single"/>
              </w:rPr>
            </w:pPr>
            <w:r>
              <w:rPr>
                <w:rStyle w:val="FontStyle96"/>
                <w:sz w:val="16"/>
                <w:u w:val="single"/>
              </w:rPr>
              <w:t>Real</w:t>
            </w:r>
          </w:p>
        </w:tc>
        <w:tc>
          <w:tcPr>
            <w:tcW w:w="1134" w:type="dxa"/>
            <w:tcBorders>
              <w:top w:val="nil"/>
              <w:left w:val="nil"/>
              <w:right w:val="nil"/>
            </w:tcBorders>
          </w:tcPr>
          <w:p w:rsidR="00EF4B60" w:rsidRPr="001735F9" w:rsidRDefault="00EF4B60" w:rsidP="00F51C52">
            <w:pPr>
              <w:pStyle w:val="Style34"/>
              <w:widowControl/>
              <w:jc w:val="center"/>
              <w:rPr>
                <w:rStyle w:val="FontStyle96"/>
                <w:sz w:val="16"/>
                <w:szCs w:val="16"/>
                <w:u w:val="single"/>
              </w:rPr>
            </w:pPr>
            <w:r>
              <w:rPr>
                <w:rStyle w:val="FontStyle96"/>
                <w:sz w:val="16"/>
                <w:u w:val="single"/>
              </w:rPr>
              <w:t>Prevista</w:t>
            </w:r>
          </w:p>
        </w:tc>
        <w:tc>
          <w:tcPr>
            <w:tcW w:w="1134" w:type="dxa"/>
            <w:tcBorders>
              <w:top w:val="nil"/>
              <w:left w:val="nil"/>
              <w:right w:val="nil"/>
            </w:tcBorders>
          </w:tcPr>
          <w:p w:rsidR="00EF4B60" w:rsidRPr="001735F9" w:rsidRDefault="00EF4B60" w:rsidP="00F51C52">
            <w:pPr>
              <w:pStyle w:val="Style34"/>
              <w:widowControl/>
              <w:jc w:val="center"/>
              <w:rPr>
                <w:rStyle w:val="FontStyle96"/>
                <w:sz w:val="16"/>
                <w:szCs w:val="16"/>
                <w:u w:val="single"/>
              </w:rPr>
            </w:pPr>
            <w:r>
              <w:rPr>
                <w:rStyle w:val="FontStyle96"/>
                <w:sz w:val="16"/>
                <w:u w:val="single"/>
              </w:rPr>
              <w:t>Variación</w:t>
            </w:r>
          </w:p>
        </w:tc>
      </w:tr>
      <w:tr w:rsidR="00EF4B60" w:rsidRPr="001735F9" w:rsidTr="00915E8A">
        <w:tblPrEx>
          <w:tblCellMar>
            <w:top w:w="0" w:type="dxa"/>
            <w:bottom w:w="0" w:type="dxa"/>
          </w:tblCellMar>
        </w:tblPrEx>
        <w:tc>
          <w:tcPr>
            <w:tcW w:w="5103" w:type="dxa"/>
            <w:tcBorders>
              <w:top w:val="nil"/>
              <w:left w:val="nil"/>
              <w:right w:val="nil"/>
            </w:tcBorders>
          </w:tcPr>
          <w:p w:rsidR="00EF4B60" w:rsidRPr="001735F9" w:rsidRDefault="00EF4B60" w:rsidP="00F51C52">
            <w:pPr>
              <w:pStyle w:val="Style61"/>
              <w:widowControl/>
              <w:rPr>
                <w:rStyle w:val="FontStyle99"/>
                <w:sz w:val="16"/>
                <w:szCs w:val="16"/>
                <w:u w:val="single"/>
              </w:rPr>
            </w:pPr>
            <w:r>
              <w:rPr>
                <w:rStyle w:val="FontStyle99"/>
                <w:sz w:val="16"/>
                <w:u w:val="single"/>
              </w:rPr>
              <w:t>Saldo de caja inicial:</w:t>
            </w:r>
          </w:p>
        </w:tc>
        <w:tc>
          <w:tcPr>
            <w:tcW w:w="1134" w:type="dxa"/>
            <w:tcBorders>
              <w:left w:val="nil"/>
              <w:bottom w:val="nil"/>
              <w:right w:val="nil"/>
            </w:tcBorders>
          </w:tcPr>
          <w:p w:rsidR="00EF4B60" w:rsidRPr="001735F9" w:rsidRDefault="00EF4B60" w:rsidP="00F51C52">
            <w:pPr>
              <w:pStyle w:val="Style61"/>
              <w:widowControl/>
              <w:rPr>
                <w:rStyle w:val="FontStyle99"/>
                <w:sz w:val="16"/>
                <w:szCs w:val="16"/>
              </w:rPr>
            </w:pPr>
          </w:p>
        </w:tc>
        <w:tc>
          <w:tcPr>
            <w:tcW w:w="1134" w:type="dxa"/>
            <w:tcBorders>
              <w:left w:val="nil"/>
              <w:bottom w:val="nil"/>
              <w:right w:val="nil"/>
            </w:tcBorders>
          </w:tcPr>
          <w:p w:rsidR="00EF4B60" w:rsidRPr="001735F9" w:rsidRDefault="00EF4B60" w:rsidP="00F51C52">
            <w:pPr>
              <w:pStyle w:val="Style61"/>
              <w:widowControl/>
              <w:rPr>
                <w:rStyle w:val="FontStyle99"/>
                <w:sz w:val="16"/>
                <w:szCs w:val="16"/>
              </w:rPr>
            </w:pPr>
          </w:p>
        </w:tc>
        <w:tc>
          <w:tcPr>
            <w:tcW w:w="1134" w:type="dxa"/>
            <w:tcBorders>
              <w:left w:val="nil"/>
              <w:bottom w:val="nil"/>
              <w:right w:val="nil"/>
            </w:tcBorders>
          </w:tcPr>
          <w:p w:rsidR="00EF4B60" w:rsidRPr="001735F9" w:rsidRDefault="00EF4B60" w:rsidP="00F51C52">
            <w:pPr>
              <w:pStyle w:val="Style61"/>
              <w:widowControl/>
              <w:rPr>
                <w:rStyle w:val="FontStyle99"/>
                <w:sz w:val="16"/>
                <w:szCs w:val="16"/>
              </w:rPr>
            </w:pPr>
          </w:p>
        </w:tc>
      </w:tr>
      <w:tr w:rsidR="00EF4B60" w:rsidRPr="001735F9" w:rsidTr="00915E8A">
        <w:tblPrEx>
          <w:tblCellMar>
            <w:top w:w="0" w:type="dxa"/>
            <w:bottom w:w="0" w:type="dxa"/>
          </w:tblCellMar>
        </w:tblPrEx>
        <w:tc>
          <w:tcPr>
            <w:tcW w:w="5103" w:type="dxa"/>
            <w:tcBorders>
              <w:left w:val="nil"/>
              <w:bottom w:val="nil"/>
              <w:right w:val="nil"/>
            </w:tcBorders>
          </w:tcPr>
          <w:p w:rsidR="00EF4B60" w:rsidRPr="001735F9" w:rsidRDefault="00EF4B60" w:rsidP="00F51C52">
            <w:pPr>
              <w:pStyle w:val="Style34"/>
              <w:widowControl/>
              <w:rPr>
                <w:rStyle w:val="FontStyle96"/>
                <w:sz w:val="16"/>
                <w:szCs w:val="16"/>
              </w:rPr>
            </w:pPr>
            <w:r>
              <w:rPr>
                <w:rStyle w:val="FontStyle96"/>
                <w:sz w:val="16"/>
              </w:rPr>
              <w:t>Transferencias desde la Cuenta de reserva para primas</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2,952,296</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2,952,296</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0</w:t>
            </w: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1735F9" w:rsidRDefault="00EF4B60" w:rsidP="00F51C52">
            <w:pPr>
              <w:pStyle w:val="Style34"/>
              <w:widowControl/>
              <w:rPr>
                <w:rStyle w:val="FontStyle96"/>
                <w:sz w:val="16"/>
                <w:szCs w:val="16"/>
              </w:rPr>
            </w:pPr>
            <w:r>
              <w:rPr>
                <w:rStyle w:val="FontStyle96"/>
                <w:sz w:val="16"/>
              </w:rPr>
              <w:t>Transferencias desde la Cuenta de vencimientos</w:t>
            </w:r>
          </w:p>
        </w:tc>
        <w:tc>
          <w:tcPr>
            <w:tcW w:w="1134" w:type="dxa"/>
            <w:tcBorders>
              <w:top w:val="nil"/>
              <w:left w:val="nil"/>
              <w:bottom w:val="single" w:sz="6" w:space="0" w:color="auto"/>
              <w:right w:val="nil"/>
            </w:tcBorders>
          </w:tcPr>
          <w:p w:rsidR="00EF4B60" w:rsidRPr="001735F9" w:rsidRDefault="00EF4B60" w:rsidP="00F51C52">
            <w:pPr>
              <w:pStyle w:val="Style34"/>
              <w:widowControl/>
              <w:jc w:val="right"/>
              <w:rPr>
                <w:rStyle w:val="FontStyle96"/>
                <w:sz w:val="16"/>
                <w:szCs w:val="16"/>
              </w:rPr>
            </w:pPr>
            <w:r>
              <w:rPr>
                <w:rStyle w:val="FontStyle96"/>
                <w:sz w:val="16"/>
              </w:rPr>
              <w:t>7,007,999</w:t>
            </w:r>
          </w:p>
        </w:tc>
        <w:tc>
          <w:tcPr>
            <w:tcW w:w="1134" w:type="dxa"/>
            <w:tcBorders>
              <w:top w:val="nil"/>
              <w:left w:val="nil"/>
              <w:bottom w:val="single" w:sz="6" w:space="0" w:color="auto"/>
              <w:right w:val="nil"/>
            </w:tcBorders>
          </w:tcPr>
          <w:p w:rsidR="00EF4B60" w:rsidRPr="001735F9" w:rsidRDefault="00EF4B60" w:rsidP="00F51C52">
            <w:pPr>
              <w:pStyle w:val="Style34"/>
              <w:widowControl/>
              <w:jc w:val="right"/>
              <w:rPr>
                <w:rStyle w:val="FontStyle96"/>
                <w:sz w:val="16"/>
                <w:szCs w:val="16"/>
              </w:rPr>
            </w:pPr>
            <w:r>
              <w:rPr>
                <w:rStyle w:val="FontStyle96"/>
                <w:sz w:val="16"/>
              </w:rPr>
              <w:t>7,007,999</w:t>
            </w:r>
          </w:p>
        </w:tc>
        <w:tc>
          <w:tcPr>
            <w:tcW w:w="1134" w:type="dxa"/>
            <w:tcBorders>
              <w:top w:val="nil"/>
              <w:left w:val="nil"/>
              <w:bottom w:val="single" w:sz="6" w:space="0" w:color="auto"/>
              <w:right w:val="nil"/>
            </w:tcBorders>
          </w:tcPr>
          <w:p w:rsidR="00EF4B60" w:rsidRPr="001735F9" w:rsidRDefault="00EF4B60" w:rsidP="00F51C52">
            <w:pPr>
              <w:pStyle w:val="Style34"/>
              <w:widowControl/>
              <w:jc w:val="right"/>
              <w:rPr>
                <w:rStyle w:val="FontStyle96"/>
                <w:sz w:val="16"/>
                <w:szCs w:val="16"/>
              </w:rPr>
            </w:pPr>
            <w:r>
              <w:rPr>
                <w:rStyle w:val="FontStyle96"/>
                <w:sz w:val="16"/>
              </w:rPr>
              <w:t>0</w:t>
            </w:r>
          </w:p>
        </w:tc>
      </w:tr>
      <w:tr w:rsidR="00EF4B60" w:rsidRPr="001735F9" w:rsidTr="00915E8A">
        <w:tblPrEx>
          <w:tblCellMar>
            <w:top w:w="0" w:type="dxa"/>
            <w:bottom w:w="0" w:type="dxa"/>
          </w:tblCellMar>
        </w:tblPrEx>
        <w:tc>
          <w:tcPr>
            <w:tcW w:w="5103" w:type="dxa"/>
            <w:tcBorders>
              <w:top w:val="nil"/>
              <w:left w:val="nil"/>
              <w:right w:val="nil"/>
            </w:tcBorders>
          </w:tcPr>
          <w:p w:rsidR="00EF4B60" w:rsidRPr="001735F9" w:rsidRDefault="00EF4B60" w:rsidP="00F51C52">
            <w:pPr>
              <w:pStyle w:val="Style61"/>
              <w:widowControl/>
              <w:rPr>
                <w:rStyle w:val="FontStyle99"/>
                <w:sz w:val="16"/>
                <w:szCs w:val="16"/>
              </w:rPr>
            </w:pPr>
            <w:r>
              <w:rPr>
                <w:rStyle w:val="FontStyle99"/>
                <w:sz w:val="16"/>
              </w:rPr>
              <w:t>Saldo de caja inicial total</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9,960,295</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9,960,295</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0</w:t>
            </w:r>
          </w:p>
        </w:tc>
      </w:tr>
      <w:tr w:rsidR="00EF4B60" w:rsidRPr="001735F9" w:rsidTr="00915E8A">
        <w:tblPrEx>
          <w:tblCellMar>
            <w:top w:w="0" w:type="dxa"/>
            <w:bottom w:w="0" w:type="dxa"/>
          </w:tblCellMar>
        </w:tblPrEx>
        <w:tc>
          <w:tcPr>
            <w:tcW w:w="5103" w:type="dxa"/>
            <w:tcBorders>
              <w:top w:val="nil"/>
              <w:left w:val="nil"/>
              <w:right w:val="nil"/>
            </w:tcBorders>
          </w:tcPr>
          <w:p w:rsidR="00EF4B60" w:rsidRPr="001735F9" w:rsidRDefault="00EF4B60" w:rsidP="00F51C52">
            <w:pPr>
              <w:pStyle w:val="Style61"/>
              <w:widowControl/>
              <w:rPr>
                <w:rStyle w:val="FontStyle99"/>
                <w:sz w:val="16"/>
                <w:szCs w:val="16"/>
                <w:u w:val="single"/>
              </w:rPr>
            </w:pPr>
          </w:p>
          <w:p w:rsidR="00EF4B60" w:rsidRPr="001735F9" w:rsidRDefault="00EF4B60" w:rsidP="00F51C52">
            <w:pPr>
              <w:pStyle w:val="Style61"/>
              <w:widowControl/>
              <w:rPr>
                <w:rStyle w:val="FontStyle99"/>
                <w:sz w:val="16"/>
                <w:szCs w:val="16"/>
              </w:rPr>
            </w:pPr>
            <w:r>
              <w:rPr>
                <w:rStyle w:val="FontStyle99"/>
                <w:sz w:val="16"/>
                <w:u w:val="single"/>
              </w:rPr>
              <w:t>Entradas de efectivo</w:t>
            </w:r>
          </w:p>
        </w:tc>
        <w:tc>
          <w:tcPr>
            <w:tcW w:w="1134" w:type="dxa"/>
            <w:tcBorders>
              <w:top w:val="single" w:sz="6" w:space="0" w:color="auto"/>
              <w:left w:val="nil"/>
              <w:bottom w:val="nil"/>
              <w:right w:val="nil"/>
            </w:tcBorders>
          </w:tcPr>
          <w:p w:rsidR="00EF4B60" w:rsidRPr="001735F9" w:rsidRDefault="00EF4B60" w:rsidP="00F51C52">
            <w:pPr>
              <w:pStyle w:val="Style61"/>
              <w:widowControl/>
              <w:rPr>
                <w:rStyle w:val="FontStyle99"/>
                <w:sz w:val="16"/>
                <w:szCs w:val="16"/>
              </w:rPr>
            </w:pPr>
          </w:p>
        </w:tc>
        <w:tc>
          <w:tcPr>
            <w:tcW w:w="1134" w:type="dxa"/>
            <w:tcBorders>
              <w:top w:val="single" w:sz="6" w:space="0" w:color="auto"/>
              <w:left w:val="nil"/>
              <w:bottom w:val="nil"/>
              <w:right w:val="nil"/>
            </w:tcBorders>
          </w:tcPr>
          <w:p w:rsidR="00EF4B60" w:rsidRPr="001735F9" w:rsidRDefault="00EF4B60" w:rsidP="00F51C52">
            <w:pPr>
              <w:pStyle w:val="Style61"/>
              <w:widowControl/>
              <w:rPr>
                <w:rStyle w:val="FontStyle99"/>
                <w:sz w:val="16"/>
                <w:szCs w:val="16"/>
              </w:rPr>
            </w:pPr>
          </w:p>
        </w:tc>
        <w:tc>
          <w:tcPr>
            <w:tcW w:w="1134" w:type="dxa"/>
            <w:tcBorders>
              <w:top w:val="single" w:sz="6" w:space="0" w:color="auto"/>
              <w:left w:val="nil"/>
              <w:bottom w:val="nil"/>
              <w:right w:val="nil"/>
            </w:tcBorders>
          </w:tcPr>
          <w:p w:rsidR="00EF4B60" w:rsidRPr="001735F9" w:rsidRDefault="00EF4B60" w:rsidP="00F51C52">
            <w:pPr>
              <w:pStyle w:val="Style61"/>
              <w:widowControl/>
              <w:rPr>
                <w:rStyle w:val="FontStyle99"/>
                <w:sz w:val="16"/>
                <w:szCs w:val="16"/>
              </w:rPr>
            </w:pPr>
          </w:p>
        </w:tc>
      </w:tr>
      <w:tr w:rsidR="00EF4B60" w:rsidRPr="001735F9" w:rsidTr="00915E8A">
        <w:tblPrEx>
          <w:tblCellMar>
            <w:top w:w="0" w:type="dxa"/>
            <w:bottom w:w="0" w:type="dxa"/>
          </w:tblCellMar>
        </w:tblPrEx>
        <w:tc>
          <w:tcPr>
            <w:tcW w:w="5103" w:type="dxa"/>
            <w:tcBorders>
              <w:left w:val="nil"/>
              <w:bottom w:val="nil"/>
              <w:right w:val="nil"/>
            </w:tcBorders>
          </w:tcPr>
          <w:p w:rsidR="00EF4B60" w:rsidRPr="001735F9" w:rsidRDefault="00EF4B60" w:rsidP="00F51C52">
            <w:pPr>
              <w:pStyle w:val="Style34"/>
              <w:widowControl/>
              <w:rPr>
                <w:rStyle w:val="FontStyle96"/>
                <w:sz w:val="16"/>
                <w:szCs w:val="16"/>
              </w:rPr>
            </w:pPr>
            <w:r>
              <w:rPr>
                <w:rStyle w:val="FontStyle96"/>
                <w:sz w:val="16"/>
              </w:rPr>
              <w:t>Vencimientos de pólizas</w:t>
            </w:r>
          </w:p>
        </w:tc>
        <w:tc>
          <w:tcPr>
            <w:tcW w:w="1134" w:type="dxa"/>
            <w:tcBorders>
              <w:top w:val="nil"/>
              <w:left w:val="nil"/>
              <w:bottom w:val="nil"/>
              <w:right w:val="nil"/>
            </w:tcBorders>
          </w:tcPr>
          <w:p w:rsidR="00EF4B60" w:rsidRPr="001735F9" w:rsidRDefault="00EF4B60" w:rsidP="00F51C52">
            <w:pPr>
              <w:pStyle w:val="Style34"/>
              <w:widowControl/>
              <w:ind w:right="14"/>
              <w:jc w:val="right"/>
              <w:rPr>
                <w:rStyle w:val="FontStyle96"/>
                <w:sz w:val="16"/>
                <w:szCs w:val="16"/>
              </w:rPr>
            </w:pPr>
            <w:r>
              <w:rPr>
                <w:rStyle w:val="FontStyle96"/>
                <w:sz w:val="16"/>
              </w:rPr>
              <w:t>10,243,191</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33,960,766</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(23,717,575)</w:t>
            </w: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1735F9" w:rsidRDefault="00EF4B60" w:rsidP="00F51C52">
            <w:pPr>
              <w:pStyle w:val="Style34"/>
              <w:widowControl/>
              <w:rPr>
                <w:rStyle w:val="FontStyle96"/>
                <w:sz w:val="16"/>
                <w:szCs w:val="16"/>
              </w:rPr>
            </w:pPr>
            <w:r>
              <w:rPr>
                <w:rStyle w:val="FontStyle96"/>
                <w:sz w:val="16"/>
              </w:rPr>
              <w:t>Otros</w:t>
            </w:r>
          </w:p>
        </w:tc>
        <w:tc>
          <w:tcPr>
            <w:tcW w:w="1134" w:type="dxa"/>
            <w:tcBorders>
              <w:top w:val="nil"/>
              <w:left w:val="nil"/>
              <w:bottom w:val="single" w:sz="6" w:space="0" w:color="auto"/>
              <w:right w:val="nil"/>
            </w:tcBorders>
          </w:tcPr>
          <w:p w:rsidR="00EF4B60" w:rsidRPr="001735F9" w:rsidRDefault="00EF4B60" w:rsidP="00F51C52">
            <w:pPr>
              <w:pStyle w:val="Style34"/>
              <w:widowControl/>
              <w:jc w:val="right"/>
              <w:rPr>
                <w:rStyle w:val="FontStyle96"/>
                <w:sz w:val="16"/>
                <w:szCs w:val="16"/>
              </w:rPr>
            </w:pPr>
            <w:r>
              <w:rPr>
                <w:rStyle w:val="FontStyle96"/>
                <w:sz w:val="16"/>
              </w:rPr>
              <w:t>1,677,723</w:t>
            </w:r>
          </w:p>
        </w:tc>
        <w:tc>
          <w:tcPr>
            <w:tcW w:w="1134" w:type="dxa"/>
            <w:tcBorders>
              <w:top w:val="nil"/>
              <w:left w:val="nil"/>
              <w:bottom w:val="single" w:sz="6" w:space="0" w:color="auto"/>
              <w:right w:val="nil"/>
            </w:tcBorders>
          </w:tcPr>
          <w:p w:rsidR="00EF4B60" w:rsidRPr="001735F9" w:rsidRDefault="00EF4B60" w:rsidP="00F51C52">
            <w:pPr>
              <w:pStyle w:val="Style34"/>
              <w:widowControl/>
              <w:jc w:val="right"/>
              <w:rPr>
                <w:rStyle w:val="FontStyle96"/>
                <w:sz w:val="16"/>
                <w:szCs w:val="16"/>
              </w:rPr>
            </w:pPr>
            <w:r>
              <w:rPr>
                <w:rStyle w:val="FontStyle96"/>
                <w:sz w:val="16"/>
              </w:rPr>
              <w:t>1,353,161</w:t>
            </w:r>
          </w:p>
        </w:tc>
        <w:tc>
          <w:tcPr>
            <w:tcW w:w="1134" w:type="dxa"/>
            <w:tcBorders>
              <w:top w:val="nil"/>
              <w:left w:val="nil"/>
              <w:bottom w:val="single" w:sz="6" w:space="0" w:color="auto"/>
              <w:right w:val="nil"/>
            </w:tcBorders>
          </w:tcPr>
          <w:p w:rsidR="00EF4B60" w:rsidRPr="001735F9" w:rsidRDefault="00EF4B60" w:rsidP="00F51C52">
            <w:pPr>
              <w:pStyle w:val="Style34"/>
              <w:widowControl/>
              <w:jc w:val="right"/>
              <w:rPr>
                <w:rStyle w:val="FontStyle96"/>
                <w:sz w:val="16"/>
                <w:szCs w:val="16"/>
              </w:rPr>
            </w:pPr>
            <w:r>
              <w:rPr>
                <w:rStyle w:val="FontStyle96"/>
                <w:sz w:val="16"/>
              </w:rPr>
              <w:t>324,562</w:t>
            </w:r>
          </w:p>
        </w:tc>
      </w:tr>
      <w:tr w:rsidR="00EF4B60" w:rsidRPr="001735F9" w:rsidTr="00915E8A">
        <w:tblPrEx>
          <w:tblCellMar>
            <w:top w:w="0" w:type="dxa"/>
            <w:bottom w:w="0" w:type="dxa"/>
          </w:tblCellMar>
        </w:tblPrEx>
        <w:tc>
          <w:tcPr>
            <w:tcW w:w="5103" w:type="dxa"/>
            <w:tcBorders>
              <w:top w:val="nil"/>
              <w:left w:val="nil"/>
              <w:right w:val="nil"/>
            </w:tcBorders>
          </w:tcPr>
          <w:p w:rsidR="00EF4B60" w:rsidRPr="001735F9" w:rsidRDefault="00EF4B60" w:rsidP="00F51C52">
            <w:pPr>
              <w:pStyle w:val="Style61"/>
              <w:widowControl/>
              <w:rPr>
                <w:rStyle w:val="FontStyle99"/>
                <w:sz w:val="16"/>
                <w:szCs w:val="16"/>
              </w:rPr>
            </w:pPr>
            <w:r>
              <w:rPr>
                <w:rStyle w:val="FontStyle99"/>
                <w:sz w:val="16"/>
              </w:rPr>
              <w:t>Total de entradas de efectivo</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11,920,914</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35,313,927</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(23,393,013)</w:t>
            </w:r>
          </w:p>
        </w:tc>
      </w:tr>
      <w:tr w:rsidR="00EF4B60" w:rsidRPr="001735F9" w:rsidTr="00915E8A">
        <w:tblPrEx>
          <w:tblCellMar>
            <w:top w:w="0" w:type="dxa"/>
            <w:bottom w:w="0" w:type="dxa"/>
          </w:tblCellMar>
        </w:tblPrEx>
        <w:tc>
          <w:tcPr>
            <w:tcW w:w="5103" w:type="dxa"/>
            <w:tcBorders>
              <w:top w:val="nil"/>
              <w:left w:val="nil"/>
              <w:right w:val="nil"/>
            </w:tcBorders>
          </w:tcPr>
          <w:p w:rsidR="00EF4B60" w:rsidRPr="001735F9" w:rsidRDefault="00EF4B60" w:rsidP="00F51C52">
            <w:pPr>
              <w:pStyle w:val="Style61"/>
              <w:widowControl/>
              <w:rPr>
                <w:rStyle w:val="FontStyle99"/>
                <w:sz w:val="16"/>
                <w:szCs w:val="16"/>
                <w:u w:val="single"/>
              </w:rPr>
            </w:pPr>
          </w:p>
          <w:p w:rsidR="00EF4B60" w:rsidRPr="001735F9" w:rsidRDefault="00EF4B60" w:rsidP="00F51C52">
            <w:pPr>
              <w:pStyle w:val="Style61"/>
              <w:widowControl/>
              <w:rPr>
                <w:rStyle w:val="FontStyle99"/>
                <w:sz w:val="16"/>
                <w:szCs w:val="16"/>
              </w:rPr>
            </w:pPr>
            <w:r>
              <w:rPr>
                <w:rStyle w:val="FontStyle99"/>
                <w:sz w:val="16"/>
                <w:u w:val="single"/>
              </w:rPr>
              <w:t>Desembolsos</w:t>
            </w:r>
          </w:p>
        </w:tc>
        <w:tc>
          <w:tcPr>
            <w:tcW w:w="1134" w:type="dxa"/>
            <w:tcBorders>
              <w:top w:val="single" w:sz="6" w:space="0" w:color="auto"/>
              <w:left w:val="nil"/>
              <w:bottom w:val="nil"/>
              <w:right w:val="nil"/>
            </w:tcBorders>
          </w:tcPr>
          <w:p w:rsidR="00EF4B60" w:rsidRPr="001735F9" w:rsidRDefault="00EF4B60" w:rsidP="00F51C52">
            <w:pPr>
              <w:pStyle w:val="Style61"/>
              <w:widowControl/>
              <w:rPr>
                <w:rStyle w:val="FontStyle99"/>
                <w:sz w:val="16"/>
                <w:szCs w:val="16"/>
              </w:rPr>
            </w:pPr>
          </w:p>
        </w:tc>
        <w:tc>
          <w:tcPr>
            <w:tcW w:w="1134" w:type="dxa"/>
            <w:tcBorders>
              <w:top w:val="single" w:sz="6" w:space="0" w:color="auto"/>
              <w:left w:val="nil"/>
              <w:bottom w:val="nil"/>
              <w:right w:val="nil"/>
            </w:tcBorders>
          </w:tcPr>
          <w:p w:rsidR="00EF4B60" w:rsidRPr="001735F9" w:rsidRDefault="00EF4B60" w:rsidP="00F51C52">
            <w:pPr>
              <w:pStyle w:val="Style61"/>
              <w:widowControl/>
              <w:rPr>
                <w:rStyle w:val="FontStyle99"/>
                <w:sz w:val="16"/>
                <w:szCs w:val="16"/>
              </w:rPr>
            </w:pPr>
          </w:p>
        </w:tc>
        <w:tc>
          <w:tcPr>
            <w:tcW w:w="1134" w:type="dxa"/>
            <w:tcBorders>
              <w:top w:val="single" w:sz="6" w:space="0" w:color="auto"/>
              <w:left w:val="nil"/>
              <w:bottom w:val="nil"/>
              <w:right w:val="nil"/>
            </w:tcBorders>
          </w:tcPr>
          <w:p w:rsidR="00EF4B60" w:rsidRPr="001735F9" w:rsidRDefault="00EF4B60" w:rsidP="00F51C52">
            <w:pPr>
              <w:pStyle w:val="Style61"/>
              <w:widowControl/>
              <w:rPr>
                <w:rStyle w:val="FontStyle99"/>
                <w:sz w:val="16"/>
                <w:szCs w:val="16"/>
              </w:rPr>
            </w:pPr>
          </w:p>
        </w:tc>
      </w:tr>
      <w:tr w:rsidR="00EF4B60" w:rsidRPr="001735F9" w:rsidTr="00915E8A">
        <w:tblPrEx>
          <w:tblCellMar>
            <w:top w:w="0" w:type="dxa"/>
            <w:bottom w:w="0" w:type="dxa"/>
          </w:tblCellMar>
        </w:tblPrEx>
        <w:tc>
          <w:tcPr>
            <w:tcW w:w="5103" w:type="dxa"/>
            <w:tcBorders>
              <w:left w:val="nil"/>
              <w:right w:val="nil"/>
            </w:tcBorders>
          </w:tcPr>
          <w:p w:rsidR="00EF4B60" w:rsidRPr="006F5C3C" w:rsidRDefault="00EF4B60" w:rsidP="00F51C52">
            <w:pPr>
              <w:pStyle w:val="Style61"/>
              <w:widowControl/>
              <w:rPr>
                <w:rStyle w:val="FontStyle99"/>
                <w:b w:val="0"/>
                <w:sz w:val="16"/>
                <w:szCs w:val="16"/>
                <w:u w:val="single"/>
              </w:rPr>
            </w:pPr>
            <w:r w:rsidRPr="006F5C3C">
              <w:rPr>
                <w:rStyle w:val="FontStyle99"/>
                <w:b w:val="0"/>
                <w:sz w:val="16"/>
                <w:u w:val="single"/>
              </w:rPr>
              <w:t>Gastos del portafolio de pólizas:</w:t>
            </w:r>
          </w:p>
        </w:tc>
        <w:tc>
          <w:tcPr>
            <w:tcW w:w="1134" w:type="dxa"/>
            <w:tcBorders>
              <w:top w:val="nil"/>
              <w:left w:val="nil"/>
              <w:bottom w:val="nil"/>
              <w:right w:val="nil"/>
            </w:tcBorders>
          </w:tcPr>
          <w:p w:rsidR="00EF4B60" w:rsidRPr="001735F9" w:rsidRDefault="00EF4B60" w:rsidP="00F51C52">
            <w:pPr>
              <w:pStyle w:val="Style61"/>
              <w:widowControl/>
              <w:rPr>
                <w:rStyle w:val="FontStyle99"/>
                <w:sz w:val="16"/>
                <w:szCs w:val="16"/>
              </w:rPr>
            </w:pPr>
          </w:p>
        </w:tc>
        <w:tc>
          <w:tcPr>
            <w:tcW w:w="1134" w:type="dxa"/>
            <w:tcBorders>
              <w:top w:val="nil"/>
              <w:left w:val="nil"/>
              <w:bottom w:val="nil"/>
              <w:right w:val="nil"/>
            </w:tcBorders>
          </w:tcPr>
          <w:p w:rsidR="00EF4B60" w:rsidRPr="001735F9" w:rsidRDefault="00EF4B60" w:rsidP="00F51C52">
            <w:pPr>
              <w:pStyle w:val="Style61"/>
              <w:widowControl/>
              <w:rPr>
                <w:rStyle w:val="FontStyle99"/>
                <w:sz w:val="16"/>
                <w:szCs w:val="16"/>
              </w:rPr>
            </w:pPr>
          </w:p>
        </w:tc>
        <w:tc>
          <w:tcPr>
            <w:tcW w:w="1134" w:type="dxa"/>
            <w:tcBorders>
              <w:top w:val="nil"/>
              <w:left w:val="nil"/>
              <w:bottom w:val="nil"/>
              <w:right w:val="nil"/>
            </w:tcBorders>
          </w:tcPr>
          <w:p w:rsidR="00EF4B60" w:rsidRPr="001735F9" w:rsidRDefault="00EF4B60" w:rsidP="00F51C52">
            <w:pPr>
              <w:pStyle w:val="Style61"/>
              <w:widowControl/>
              <w:rPr>
                <w:rStyle w:val="FontStyle99"/>
                <w:sz w:val="16"/>
                <w:szCs w:val="16"/>
              </w:rPr>
            </w:pPr>
          </w:p>
        </w:tc>
      </w:tr>
      <w:tr w:rsidR="00EF4B60" w:rsidRPr="001735F9" w:rsidTr="00915E8A">
        <w:tblPrEx>
          <w:tblCellMar>
            <w:top w:w="0" w:type="dxa"/>
            <w:bottom w:w="0" w:type="dxa"/>
          </w:tblCellMar>
        </w:tblPrEx>
        <w:tc>
          <w:tcPr>
            <w:tcW w:w="5103" w:type="dxa"/>
            <w:tcBorders>
              <w:left w:val="nil"/>
              <w:bottom w:val="nil"/>
              <w:right w:val="nil"/>
            </w:tcBorders>
          </w:tcPr>
          <w:p w:rsidR="00EF4B60" w:rsidRPr="006F5C3C" w:rsidRDefault="00EF4B60" w:rsidP="00F51C52">
            <w:pPr>
              <w:pStyle w:val="Style34"/>
              <w:widowControl/>
              <w:rPr>
                <w:rStyle w:val="FontStyle96"/>
                <w:sz w:val="16"/>
                <w:szCs w:val="16"/>
              </w:rPr>
            </w:pPr>
            <w:r w:rsidRPr="006F5C3C">
              <w:rPr>
                <w:rStyle w:val="FontStyle96"/>
                <w:sz w:val="16"/>
              </w:rPr>
              <w:t>Pagos de primas</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7,884,638</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8,042,105</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(157,467)</w:t>
            </w: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1735F9" w:rsidRDefault="00EF4B60" w:rsidP="00F51C52">
            <w:pPr>
              <w:pStyle w:val="Style34"/>
              <w:widowControl/>
              <w:rPr>
                <w:rStyle w:val="FontStyle96"/>
                <w:sz w:val="16"/>
                <w:szCs w:val="16"/>
              </w:rPr>
            </w:pPr>
            <w:r>
              <w:rPr>
                <w:rStyle w:val="FontStyle96"/>
                <w:sz w:val="16"/>
              </w:rPr>
              <w:t>Honorarios administrativos</w:t>
            </w:r>
          </w:p>
        </w:tc>
        <w:tc>
          <w:tcPr>
            <w:tcW w:w="1134" w:type="dxa"/>
            <w:tcBorders>
              <w:top w:val="nil"/>
              <w:left w:val="nil"/>
              <w:right w:val="nil"/>
            </w:tcBorders>
          </w:tcPr>
          <w:p w:rsidR="00EF4B60" w:rsidRPr="001735F9" w:rsidRDefault="00EF4B60" w:rsidP="00F51C52">
            <w:pPr>
              <w:pStyle w:val="Style34"/>
              <w:widowControl/>
              <w:jc w:val="right"/>
              <w:rPr>
                <w:rStyle w:val="FontStyle96"/>
                <w:sz w:val="16"/>
                <w:szCs w:val="16"/>
              </w:rPr>
            </w:pPr>
            <w:r>
              <w:rPr>
                <w:rStyle w:val="FontStyle96"/>
                <w:sz w:val="16"/>
              </w:rPr>
              <w:t>1,528,552</w:t>
            </w:r>
          </w:p>
        </w:tc>
        <w:tc>
          <w:tcPr>
            <w:tcW w:w="1134" w:type="dxa"/>
            <w:tcBorders>
              <w:top w:val="nil"/>
              <w:left w:val="nil"/>
              <w:right w:val="nil"/>
            </w:tcBorders>
          </w:tcPr>
          <w:p w:rsidR="00EF4B60" w:rsidRPr="001735F9" w:rsidRDefault="00EF4B60" w:rsidP="00F51C52">
            <w:pPr>
              <w:pStyle w:val="Style34"/>
              <w:widowControl/>
              <w:jc w:val="right"/>
              <w:rPr>
                <w:rStyle w:val="FontStyle96"/>
                <w:sz w:val="16"/>
                <w:szCs w:val="16"/>
              </w:rPr>
            </w:pPr>
            <w:r>
              <w:rPr>
                <w:rStyle w:val="FontStyle96"/>
                <w:sz w:val="16"/>
              </w:rPr>
              <w:t>1,528,552</w:t>
            </w:r>
          </w:p>
        </w:tc>
        <w:tc>
          <w:tcPr>
            <w:tcW w:w="1134" w:type="dxa"/>
            <w:tcBorders>
              <w:top w:val="nil"/>
              <w:left w:val="nil"/>
              <w:right w:val="nil"/>
            </w:tcBorders>
          </w:tcPr>
          <w:p w:rsidR="00EF4B60" w:rsidRPr="001735F9" w:rsidRDefault="00EF4B60" w:rsidP="00F51C52">
            <w:pPr>
              <w:pStyle w:val="Style34"/>
              <w:widowControl/>
              <w:jc w:val="right"/>
              <w:rPr>
                <w:rStyle w:val="FontStyle96"/>
                <w:sz w:val="16"/>
                <w:szCs w:val="16"/>
              </w:rPr>
            </w:pPr>
            <w:r>
              <w:rPr>
                <w:rStyle w:val="FontStyle96"/>
                <w:sz w:val="16"/>
              </w:rPr>
              <w:t>0</w:t>
            </w: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1735F9" w:rsidRDefault="00EF4B60" w:rsidP="00F51C52">
            <w:pPr>
              <w:pStyle w:val="Style34"/>
              <w:widowControl/>
              <w:rPr>
                <w:rStyle w:val="FontStyle96"/>
                <w:sz w:val="16"/>
                <w:szCs w:val="16"/>
              </w:rPr>
            </w:pPr>
            <w:r>
              <w:rPr>
                <w:rStyle w:val="FontStyle96"/>
                <w:sz w:val="16"/>
              </w:rPr>
              <w:t>Honorarios de Mills, Potoczak</w:t>
            </w:r>
          </w:p>
        </w:tc>
        <w:tc>
          <w:tcPr>
            <w:tcW w:w="1134" w:type="dxa"/>
            <w:tcBorders>
              <w:top w:val="nil"/>
              <w:left w:val="nil"/>
              <w:bottom w:val="single" w:sz="6" w:space="0" w:color="auto"/>
              <w:right w:val="nil"/>
            </w:tcBorders>
          </w:tcPr>
          <w:p w:rsidR="00EF4B60" w:rsidRPr="001735F9" w:rsidRDefault="00EF4B60" w:rsidP="00F51C52">
            <w:pPr>
              <w:pStyle w:val="Style34"/>
              <w:widowControl/>
              <w:jc w:val="right"/>
              <w:rPr>
                <w:rStyle w:val="FontStyle96"/>
                <w:sz w:val="16"/>
                <w:szCs w:val="16"/>
              </w:rPr>
            </w:pPr>
            <w:r>
              <w:rPr>
                <w:rStyle w:val="FontStyle96"/>
                <w:sz w:val="16"/>
              </w:rPr>
              <w:t>67,986</w:t>
            </w:r>
          </w:p>
        </w:tc>
        <w:tc>
          <w:tcPr>
            <w:tcW w:w="1134" w:type="dxa"/>
            <w:tcBorders>
              <w:top w:val="nil"/>
              <w:left w:val="nil"/>
              <w:bottom w:val="single" w:sz="6" w:space="0" w:color="auto"/>
              <w:right w:val="nil"/>
            </w:tcBorders>
          </w:tcPr>
          <w:p w:rsidR="00EF4B60" w:rsidRPr="001735F9" w:rsidRDefault="00EF4B60" w:rsidP="00F51C52">
            <w:pPr>
              <w:pStyle w:val="Style34"/>
              <w:widowControl/>
              <w:jc w:val="right"/>
              <w:rPr>
                <w:rStyle w:val="FontStyle96"/>
                <w:sz w:val="16"/>
                <w:szCs w:val="16"/>
              </w:rPr>
            </w:pPr>
            <w:r>
              <w:rPr>
                <w:rStyle w:val="FontStyle96"/>
                <w:sz w:val="16"/>
              </w:rPr>
              <w:t>84,776</w:t>
            </w:r>
          </w:p>
        </w:tc>
        <w:tc>
          <w:tcPr>
            <w:tcW w:w="1134" w:type="dxa"/>
            <w:tcBorders>
              <w:top w:val="nil"/>
              <w:left w:val="nil"/>
              <w:bottom w:val="single" w:sz="6" w:space="0" w:color="auto"/>
              <w:right w:val="nil"/>
            </w:tcBorders>
          </w:tcPr>
          <w:p w:rsidR="00EF4B60" w:rsidRPr="001735F9" w:rsidRDefault="00EF4B60" w:rsidP="00F51C52">
            <w:pPr>
              <w:pStyle w:val="Style34"/>
              <w:widowControl/>
              <w:jc w:val="right"/>
              <w:rPr>
                <w:rStyle w:val="FontStyle96"/>
                <w:sz w:val="16"/>
                <w:szCs w:val="16"/>
              </w:rPr>
            </w:pPr>
            <w:r>
              <w:rPr>
                <w:rStyle w:val="FontStyle96"/>
                <w:sz w:val="16"/>
              </w:rPr>
              <w:t>(16,790)</w:t>
            </w:r>
          </w:p>
        </w:tc>
      </w:tr>
      <w:tr w:rsidR="00EF4B60" w:rsidRPr="001735F9" w:rsidTr="00915E8A">
        <w:tblPrEx>
          <w:tblCellMar>
            <w:top w:w="0" w:type="dxa"/>
            <w:bottom w:w="0" w:type="dxa"/>
          </w:tblCellMar>
        </w:tblPrEx>
        <w:tc>
          <w:tcPr>
            <w:tcW w:w="5103" w:type="dxa"/>
            <w:tcBorders>
              <w:top w:val="nil"/>
              <w:left w:val="nil"/>
              <w:right w:val="nil"/>
            </w:tcBorders>
          </w:tcPr>
          <w:p w:rsidR="00EF4B60" w:rsidRPr="001735F9" w:rsidRDefault="00EF4B60" w:rsidP="00F51C52">
            <w:pPr>
              <w:pStyle w:val="Style34"/>
              <w:widowControl/>
              <w:rPr>
                <w:rStyle w:val="FontStyle96"/>
                <w:sz w:val="16"/>
                <w:szCs w:val="16"/>
              </w:rPr>
            </w:pPr>
            <w:r>
              <w:rPr>
                <w:rStyle w:val="FontStyle96"/>
                <w:sz w:val="16"/>
              </w:rPr>
              <w:t>Total de gastos del portafolio de pólizas</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9,481,176</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9,655,433</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(174,257)</w:t>
            </w:r>
          </w:p>
        </w:tc>
      </w:tr>
      <w:tr w:rsidR="00EF4B60" w:rsidRPr="001735F9" w:rsidTr="00915E8A">
        <w:tblPrEx>
          <w:tblCellMar>
            <w:top w:w="0" w:type="dxa"/>
            <w:bottom w:w="0" w:type="dxa"/>
          </w:tblCellMar>
        </w:tblPrEx>
        <w:tc>
          <w:tcPr>
            <w:tcW w:w="5103" w:type="dxa"/>
            <w:tcBorders>
              <w:top w:val="nil"/>
              <w:left w:val="nil"/>
              <w:right w:val="nil"/>
            </w:tcBorders>
          </w:tcPr>
          <w:p w:rsidR="00EF4B60" w:rsidRPr="006F5C3C" w:rsidRDefault="00EF4B60" w:rsidP="00F51C52">
            <w:pPr>
              <w:pStyle w:val="Style61"/>
              <w:widowControl/>
              <w:rPr>
                <w:rStyle w:val="FontStyle99"/>
                <w:b w:val="0"/>
                <w:sz w:val="16"/>
                <w:szCs w:val="16"/>
                <w:u w:val="single"/>
              </w:rPr>
            </w:pPr>
          </w:p>
          <w:p w:rsidR="00EF4B60" w:rsidRPr="006F5C3C" w:rsidRDefault="00EF4B60" w:rsidP="00F51C52">
            <w:pPr>
              <w:pStyle w:val="Style61"/>
              <w:widowControl/>
              <w:rPr>
                <w:rStyle w:val="FontStyle96"/>
                <w:b/>
                <w:sz w:val="16"/>
                <w:szCs w:val="16"/>
              </w:rPr>
            </w:pPr>
            <w:r w:rsidRPr="006F5C3C">
              <w:rPr>
                <w:rStyle w:val="FontStyle99"/>
                <w:b w:val="0"/>
                <w:sz w:val="16"/>
                <w:u w:val="single"/>
              </w:rPr>
              <w:t>Gastos de reestructuración</w:t>
            </w:r>
          </w:p>
        </w:tc>
        <w:tc>
          <w:tcPr>
            <w:tcW w:w="1134" w:type="dxa"/>
            <w:tcBorders>
              <w:top w:val="single" w:sz="6" w:space="0" w:color="auto"/>
              <w:left w:val="nil"/>
              <w:bottom w:val="nil"/>
              <w:right w:val="nil"/>
            </w:tcBorders>
          </w:tcPr>
          <w:p w:rsidR="00EF4B60" w:rsidRPr="001735F9" w:rsidRDefault="00EF4B60" w:rsidP="00F51C52">
            <w:pPr>
              <w:pStyle w:val="Style61"/>
              <w:widowControl/>
              <w:jc w:val="right"/>
              <w:rPr>
                <w:rStyle w:val="FontStyle99"/>
                <w:sz w:val="16"/>
                <w:szCs w:val="16"/>
              </w:rPr>
            </w:pPr>
          </w:p>
        </w:tc>
        <w:tc>
          <w:tcPr>
            <w:tcW w:w="1134" w:type="dxa"/>
            <w:tcBorders>
              <w:top w:val="single" w:sz="6" w:space="0" w:color="auto"/>
              <w:left w:val="nil"/>
              <w:bottom w:val="nil"/>
              <w:right w:val="nil"/>
            </w:tcBorders>
          </w:tcPr>
          <w:p w:rsidR="00EF4B60" w:rsidRPr="001735F9" w:rsidRDefault="00EF4B60" w:rsidP="00F51C52">
            <w:pPr>
              <w:pStyle w:val="Style61"/>
              <w:widowControl/>
              <w:jc w:val="right"/>
              <w:rPr>
                <w:rStyle w:val="FontStyle99"/>
                <w:sz w:val="16"/>
                <w:szCs w:val="16"/>
              </w:rPr>
            </w:pPr>
          </w:p>
        </w:tc>
        <w:tc>
          <w:tcPr>
            <w:tcW w:w="1134" w:type="dxa"/>
            <w:tcBorders>
              <w:top w:val="single" w:sz="6" w:space="0" w:color="auto"/>
              <w:left w:val="nil"/>
              <w:bottom w:val="nil"/>
              <w:right w:val="nil"/>
            </w:tcBorders>
          </w:tcPr>
          <w:p w:rsidR="00EF4B60" w:rsidRPr="001735F9" w:rsidRDefault="00EF4B60" w:rsidP="00F51C52">
            <w:pPr>
              <w:pStyle w:val="Style61"/>
              <w:widowControl/>
              <w:jc w:val="right"/>
              <w:rPr>
                <w:rStyle w:val="FontStyle99"/>
                <w:sz w:val="16"/>
                <w:szCs w:val="16"/>
              </w:rPr>
            </w:pPr>
          </w:p>
        </w:tc>
      </w:tr>
      <w:tr w:rsidR="00EF4B60" w:rsidRPr="001735F9" w:rsidTr="00915E8A">
        <w:tblPrEx>
          <w:tblCellMar>
            <w:top w:w="0" w:type="dxa"/>
            <w:bottom w:w="0" w:type="dxa"/>
          </w:tblCellMar>
        </w:tblPrEx>
        <w:tc>
          <w:tcPr>
            <w:tcW w:w="5103" w:type="dxa"/>
            <w:tcBorders>
              <w:left w:val="nil"/>
              <w:bottom w:val="nil"/>
              <w:right w:val="nil"/>
            </w:tcBorders>
          </w:tcPr>
          <w:p w:rsidR="00EF4B60" w:rsidRPr="006F5C3C" w:rsidRDefault="00EF4B60" w:rsidP="00F51C52">
            <w:pPr>
              <w:pStyle w:val="Style34"/>
              <w:widowControl/>
              <w:rPr>
                <w:rStyle w:val="FontStyle96"/>
                <w:sz w:val="16"/>
                <w:szCs w:val="16"/>
              </w:rPr>
            </w:pPr>
            <w:r w:rsidRPr="006F5C3C">
              <w:rPr>
                <w:rStyle w:val="FontStyle96"/>
                <w:sz w:val="16"/>
              </w:rPr>
              <w:t>Reclamaciones no afectadas</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782,378</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779,276</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3,102</w:t>
            </w: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6F5C3C" w:rsidRDefault="00EF4B60" w:rsidP="00F51C52">
            <w:pPr>
              <w:pStyle w:val="Style34"/>
              <w:widowControl/>
              <w:rPr>
                <w:rStyle w:val="FontStyle96"/>
                <w:sz w:val="16"/>
                <w:szCs w:val="16"/>
              </w:rPr>
            </w:pPr>
            <w:r w:rsidRPr="006F5C3C">
              <w:rPr>
                <w:rStyle w:val="FontStyle96"/>
                <w:sz w:val="16"/>
              </w:rPr>
              <w:t>Honorarios y desembolsos del Supervisor</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373,509</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523,334</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(149,825)</w:t>
            </w: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6F5C3C" w:rsidRDefault="00EF4B60" w:rsidP="00F51C52">
            <w:pPr>
              <w:pStyle w:val="Style34"/>
              <w:widowControl/>
              <w:rPr>
                <w:rStyle w:val="FontStyle96"/>
                <w:sz w:val="16"/>
                <w:szCs w:val="16"/>
              </w:rPr>
            </w:pPr>
            <w:r w:rsidRPr="006F5C3C">
              <w:rPr>
                <w:rStyle w:val="FontStyle96"/>
                <w:sz w:val="16"/>
              </w:rPr>
              <w:t>Honorarios legales y desembolsos:</w:t>
            </w:r>
          </w:p>
        </w:tc>
        <w:tc>
          <w:tcPr>
            <w:tcW w:w="1134" w:type="dxa"/>
            <w:tcBorders>
              <w:top w:val="nil"/>
              <w:left w:val="nil"/>
              <w:bottom w:val="nil"/>
              <w:right w:val="nil"/>
            </w:tcBorders>
          </w:tcPr>
          <w:p w:rsidR="00EF4B60" w:rsidRPr="001735F9" w:rsidRDefault="00EF4B60" w:rsidP="00F51C52">
            <w:pPr>
              <w:pStyle w:val="Style61"/>
              <w:widowControl/>
              <w:jc w:val="right"/>
              <w:rPr>
                <w:rStyle w:val="FontStyle99"/>
                <w:sz w:val="16"/>
                <w:szCs w:val="16"/>
              </w:rPr>
            </w:pPr>
          </w:p>
        </w:tc>
        <w:tc>
          <w:tcPr>
            <w:tcW w:w="1134" w:type="dxa"/>
            <w:tcBorders>
              <w:top w:val="nil"/>
              <w:left w:val="nil"/>
              <w:bottom w:val="nil"/>
              <w:right w:val="nil"/>
            </w:tcBorders>
          </w:tcPr>
          <w:p w:rsidR="00EF4B60" w:rsidRPr="001735F9" w:rsidRDefault="00EF4B60" w:rsidP="00F51C52">
            <w:pPr>
              <w:pStyle w:val="Style61"/>
              <w:widowControl/>
              <w:jc w:val="right"/>
              <w:rPr>
                <w:rStyle w:val="FontStyle99"/>
                <w:sz w:val="16"/>
                <w:szCs w:val="16"/>
              </w:rPr>
            </w:pPr>
          </w:p>
        </w:tc>
        <w:tc>
          <w:tcPr>
            <w:tcW w:w="1134" w:type="dxa"/>
            <w:tcBorders>
              <w:top w:val="nil"/>
              <w:left w:val="nil"/>
              <w:bottom w:val="nil"/>
              <w:right w:val="nil"/>
            </w:tcBorders>
          </w:tcPr>
          <w:p w:rsidR="00EF4B60" w:rsidRPr="001735F9" w:rsidRDefault="00EF4B60" w:rsidP="00F51C52">
            <w:pPr>
              <w:pStyle w:val="Style61"/>
              <w:widowControl/>
              <w:jc w:val="right"/>
              <w:rPr>
                <w:rStyle w:val="FontStyle99"/>
                <w:sz w:val="16"/>
                <w:szCs w:val="16"/>
              </w:rPr>
            </w:pP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6F5C3C" w:rsidRDefault="00EF4B60" w:rsidP="00F51C52">
            <w:pPr>
              <w:pStyle w:val="Style34"/>
              <w:widowControl/>
              <w:ind w:left="264"/>
              <w:rPr>
                <w:rStyle w:val="FontStyle96"/>
                <w:sz w:val="16"/>
                <w:szCs w:val="16"/>
              </w:rPr>
            </w:pPr>
            <w:r w:rsidRPr="006F5C3C">
              <w:rPr>
                <w:rStyle w:val="FontStyle96"/>
                <w:sz w:val="16"/>
              </w:rPr>
              <w:t>Ogilvy Renault LLP</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80,684</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126,238</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(45,554)</w:t>
            </w: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6F5C3C" w:rsidRDefault="00EF4B60" w:rsidP="00F51C52">
            <w:pPr>
              <w:pStyle w:val="Style34"/>
              <w:widowControl/>
              <w:ind w:left="269"/>
              <w:rPr>
                <w:rStyle w:val="FontStyle96"/>
                <w:sz w:val="16"/>
                <w:szCs w:val="16"/>
              </w:rPr>
            </w:pPr>
            <w:r w:rsidRPr="006F5C3C">
              <w:rPr>
                <w:rStyle w:val="FontStyle96"/>
                <w:sz w:val="16"/>
              </w:rPr>
              <w:t>Rueter Scargall Bennett LLP</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59,009</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127,515</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(68,506)</w:t>
            </w: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6F5C3C" w:rsidRDefault="00EF4B60" w:rsidP="00F51C52">
            <w:pPr>
              <w:pStyle w:val="Style34"/>
              <w:widowControl/>
              <w:ind w:left="269"/>
              <w:rPr>
                <w:rStyle w:val="FontStyle96"/>
                <w:sz w:val="16"/>
                <w:szCs w:val="16"/>
                <w:lang w:val="en-US"/>
              </w:rPr>
            </w:pPr>
            <w:r w:rsidRPr="006F5C3C">
              <w:rPr>
                <w:rStyle w:val="FontStyle96"/>
                <w:sz w:val="16"/>
                <w:lang w:val="en-US"/>
              </w:rPr>
              <w:t>Blake, Cassels and Graydon LLP</w:t>
            </w:r>
          </w:p>
        </w:tc>
        <w:tc>
          <w:tcPr>
            <w:tcW w:w="1134" w:type="dxa"/>
            <w:tcBorders>
              <w:top w:val="nil"/>
              <w:left w:val="nil"/>
              <w:bottom w:val="single" w:sz="6" w:space="0" w:color="auto"/>
              <w:right w:val="nil"/>
            </w:tcBorders>
          </w:tcPr>
          <w:p w:rsidR="00EF4B60" w:rsidRPr="001735F9" w:rsidRDefault="00EF4B60" w:rsidP="00F51C52">
            <w:pPr>
              <w:pStyle w:val="Style34"/>
              <w:widowControl/>
              <w:ind w:right="5"/>
              <w:jc w:val="right"/>
              <w:rPr>
                <w:rStyle w:val="FontStyle96"/>
                <w:sz w:val="16"/>
                <w:szCs w:val="16"/>
              </w:rPr>
            </w:pPr>
            <w:r>
              <w:rPr>
                <w:rStyle w:val="FontStyle96"/>
                <w:sz w:val="16"/>
              </w:rPr>
              <w:t>43,453</w:t>
            </w:r>
          </w:p>
        </w:tc>
        <w:tc>
          <w:tcPr>
            <w:tcW w:w="1134" w:type="dxa"/>
            <w:tcBorders>
              <w:top w:val="nil"/>
              <w:left w:val="nil"/>
              <w:bottom w:val="single" w:sz="6" w:space="0" w:color="auto"/>
              <w:right w:val="nil"/>
            </w:tcBorders>
          </w:tcPr>
          <w:p w:rsidR="00EF4B60" w:rsidRPr="001735F9" w:rsidRDefault="00EF4B60" w:rsidP="00F51C52">
            <w:pPr>
              <w:pStyle w:val="Style34"/>
              <w:widowControl/>
              <w:jc w:val="right"/>
              <w:rPr>
                <w:rStyle w:val="FontStyle96"/>
                <w:sz w:val="16"/>
                <w:szCs w:val="16"/>
              </w:rPr>
            </w:pPr>
            <w:r>
              <w:rPr>
                <w:rStyle w:val="FontStyle96"/>
                <w:sz w:val="16"/>
              </w:rPr>
              <w:t>74,903</w:t>
            </w:r>
          </w:p>
        </w:tc>
        <w:tc>
          <w:tcPr>
            <w:tcW w:w="1134" w:type="dxa"/>
            <w:tcBorders>
              <w:top w:val="nil"/>
              <w:left w:val="nil"/>
              <w:bottom w:val="single" w:sz="6" w:space="0" w:color="auto"/>
              <w:right w:val="nil"/>
            </w:tcBorders>
          </w:tcPr>
          <w:p w:rsidR="00EF4B60" w:rsidRPr="001735F9" w:rsidRDefault="00EF4B60" w:rsidP="00F51C52">
            <w:pPr>
              <w:pStyle w:val="Style34"/>
              <w:widowControl/>
              <w:jc w:val="right"/>
              <w:rPr>
                <w:rStyle w:val="FontStyle96"/>
                <w:sz w:val="16"/>
                <w:szCs w:val="16"/>
              </w:rPr>
            </w:pPr>
            <w:r>
              <w:rPr>
                <w:rStyle w:val="FontStyle96"/>
                <w:sz w:val="16"/>
              </w:rPr>
              <w:t>(31,450)</w:t>
            </w:r>
          </w:p>
        </w:tc>
      </w:tr>
      <w:tr w:rsidR="00EF4B60" w:rsidRPr="001735F9" w:rsidTr="00915E8A">
        <w:tblPrEx>
          <w:tblCellMar>
            <w:top w:w="0" w:type="dxa"/>
            <w:bottom w:w="0" w:type="dxa"/>
          </w:tblCellMar>
        </w:tblPrEx>
        <w:tc>
          <w:tcPr>
            <w:tcW w:w="5103" w:type="dxa"/>
            <w:tcBorders>
              <w:top w:val="nil"/>
              <w:left w:val="nil"/>
              <w:right w:val="nil"/>
            </w:tcBorders>
          </w:tcPr>
          <w:p w:rsidR="00EF4B60" w:rsidRPr="006F5C3C" w:rsidRDefault="00EF4B60" w:rsidP="00F51C52">
            <w:pPr>
              <w:pStyle w:val="Style34"/>
              <w:widowControl/>
              <w:rPr>
                <w:rStyle w:val="FontStyle96"/>
                <w:sz w:val="16"/>
                <w:szCs w:val="16"/>
              </w:rPr>
            </w:pPr>
            <w:r w:rsidRPr="006F5C3C">
              <w:rPr>
                <w:rStyle w:val="FontStyle96"/>
                <w:sz w:val="16"/>
              </w:rPr>
              <w:t>Total de gastos de reestructuración</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1,339,032</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1,631,266</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(292,234)</w:t>
            </w:r>
          </w:p>
        </w:tc>
      </w:tr>
      <w:tr w:rsidR="00EF4B60" w:rsidRPr="001735F9" w:rsidTr="00915E8A">
        <w:tblPrEx>
          <w:tblCellMar>
            <w:top w:w="0" w:type="dxa"/>
            <w:bottom w:w="0" w:type="dxa"/>
          </w:tblCellMar>
        </w:tblPrEx>
        <w:tc>
          <w:tcPr>
            <w:tcW w:w="5103" w:type="dxa"/>
            <w:tcBorders>
              <w:top w:val="nil"/>
              <w:left w:val="nil"/>
              <w:right w:val="nil"/>
            </w:tcBorders>
          </w:tcPr>
          <w:p w:rsidR="00EF4B60" w:rsidRPr="006F5C3C" w:rsidRDefault="00EF4B60" w:rsidP="00F51C52">
            <w:pPr>
              <w:pStyle w:val="Style34"/>
              <w:widowControl/>
              <w:rPr>
                <w:rStyle w:val="FontStyle99"/>
                <w:b w:val="0"/>
                <w:sz w:val="16"/>
                <w:szCs w:val="16"/>
                <w:u w:val="single"/>
              </w:rPr>
            </w:pPr>
          </w:p>
          <w:p w:rsidR="00EF4B60" w:rsidRPr="006F5C3C" w:rsidRDefault="00EF4B60" w:rsidP="00F51C52">
            <w:pPr>
              <w:pStyle w:val="Style34"/>
              <w:widowControl/>
              <w:rPr>
                <w:rStyle w:val="FontStyle96"/>
                <w:b/>
                <w:sz w:val="16"/>
                <w:szCs w:val="16"/>
              </w:rPr>
            </w:pPr>
            <w:r w:rsidRPr="006F5C3C">
              <w:rPr>
                <w:rStyle w:val="FontStyle99"/>
                <w:b w:val="0"/>
                <w:sz w:val="16"/>
                <w:u w:val="single"/>
              </w:rPr>
              <w:t>Otros gastos</w:t>
            </w:r>
            <w:r w:rsidRPr="006F5C3C">
              <w:rPr>
                <w:rStyle w:val="FontStyle96"/>
                <w:b/>
                <w:sz w:val="16"/>
              </w:rPr>
              <w:t>:</w:t>
            </w:r>
          </w:p>
        </w:tc>
        <w:tc>
          <w:tcPr>
            <w:tcW w:w="1134" w:type="dxa"/>
            <w:tcBorders>
              <w:top w:val="single" w:sz="6" w:space="0" w:color="auto"/>
              <w:left w:val="nil"/>
              <w:bottom w:val="nil"/>
              <w:right w:val="nil"/>
            </w:tcBorders>
          </w:tcPr>
          <w:p w:rsidR="00EF4B60" w:rsidRPr="001735F9" w:rsidRDefault="00EF4B60" w:rsidP="00F51C52">
            <w:pPr>
              <w:pStyle w:val="Style61"/>
              <w:widowControl/>
              <w:jc w:val="right"/>
              <w:rPr>
                <w:rStyle w:val="FontStyle99"/>
                <w:sz w:val="16"/>
                <w:szCs w:val="16"/>
              </w:rPr>
            </w:pPr>
          </w:p>
        </w:tc>
        <w:tc>
          <w:tcPr>
            <w:tcW w:w="1134" w:type="dxa"/>
            <w:tcBorders>
              <w:top w:val="single" w:sz="6" w:space="0" w:color="auto"/>
              <w:left w:val="nil"/>
              <w:bottom w:val="nil"/>
              <w:right w:val="nil"/>
            </w:tcBorders>
          </w:tcPr>
          <w:p w:rsidR="00EF4B60" w:rsidRPr="001735F9" w:rsidRDefault="00EF4B60" w:rsidP="00F51C52">
            <w:pPr>
              <w:pStyle w:val="Style61"/>
              <w:widowControl/>
              <w:jc w:val="right"/>
              <w:rPr>
                <w:rStyle w:val="FontStyle99"/>
                <w:sz w:val="16"/>
                <w:szCs w:val="16"/>
              </w:rPr>
            </w:pPr>
          </w:p>
        </w:tc>
        <w:tc>
          <w:tcPr>
            <w:tcW w:w="1134" w:type="dxa"/>
            <w:tcBorders>
              <w:top w:val="single" w:sz="6" w:space="0" w:color="auto"/>
              <w:left w:val="nil"/>
              <w:bottom w:val="nil"/>
              <w:right w:val="nil"/>
            </w:tcBorders>
          </w:tcPr>
          <w:p w:rsidR="00EF4B60" w:rsidRPr="001735F9" w:rsidRDefault="00EF4B60" w:rsidP="00F51C52">
            <w:pPr>
              <w:pStyle w:val="Style61"/>
              <w:widowControl/>
              <w:jc w:val="right"/>
              <w:rPr>
                <w:rStyle w:val="FontStyle99"/>
                <w:sz w:val="16"/>
                <w:szCs w:val="16"/>
              </w:rPr>
            </w:pPr>
          </w:p>
        </w:tc>
      </w:tr>
      <w:tr w:rsidR="00EF4B60" w:rsidRPr="001735F9" w:rsidTr="00915E8A">
        <w:tblPrEx>
          <w:tblCellMar>
            <w:top w:w="0" w:type="dxa"/>
            <w:bottom w:w="0" w:type="dxa"/>
          </w:tblCellMar>
        </w:tblPrEx>
        <w:tc>
          <w:tcPr>
            <w:tcW w:w="5103" w:type="dxa"/>
            <w:tcBorders>
              <w:left w:val="nil"/>
              <w:bottom w:val="nil"/>
              <w:right w:val="nil"/>
            </w:tcBorders>
          </w:tcPr>
          <w:p w:rsidR="00EF4B60" w:rsidRPr="001735F9" w:rsidRDefault="00EF4B60" w:rsidP="00F51C52">
            <w:pPr>
              <w:pStyle w:val="Style34"/>
              <w:widowControl/>
              <w:rPr>
                <w:rStyle w:val="FontStyle96"/>
                <w:sz w:val="16"/>
                <w:szCs w:val="16"/>
              </w:rPr>
            </w:pPr>
            <w:r>
              <w:rPr>
                <w:rStyle w:val="FontStyle96"/>
                <w:sz w:val="16"/>
              </w:rPr>
              <w:t>Contribución para litigios</w:t>
            </w:r>
          </w:p>
        </w:tc>
        <w:tc>
          <w:tcPr>
            <w:tcW w:w="1134" w:type="dxa"/>
            <w:tcBorders>
              <w:top w:val="nil"/>
              <w:left w:val="nil"/>
              <w:bottom w:val="nil"/>
              <w:right w:val="nil"/>
            </w:tcBorders>
          </w:tcPr>
          <w:p w:rsidR="00EF4B60" w:rsidRPr="001735F9" w:rsidRDefault="00EF4B60" w:rsidP="00F51C52">
            <w:pPr>
              <w:pStyle w:val="Style34"/>
              <w:widowControl/>
              <w:ind w:right="19"/>
              <w:jc w:val="right"/>
              <w:rPr>
                <w:rStyle w:val="FontStyle96"/>
                <w:sz w:val="16"/>
                <w:szCs w:val="16"/>
              </w:rPr>
            </w:pPr>
            <w:r>
              <w:rPr>
                <w:rStyle w:val="FontStyle96"/>
                <w:sz w:val="16"/>
              </w:rPr>
              <w:t>518,071</w:t>
            </w:r>
          </w:p>
        </w:tc>
        <w:tc>
          <w:tcPr>
            <w:tcW w:w="1134" w:type="dxa"/>
            <w:tcBorders>
              <w:top w:val="nil"/>
              <w:left w:val="nil"/>
              <w:bottom w:val="nil"/>
              <w:right w:val="nil"/>
            </w:tcBorders>
          </w:tcPr>
          <w:p w:rsidR="00EF4B60" w:rsidRPr="001735F9" w:rsidRDefault="00EF4B60" w:rsidP="00F51C52">
            <w:pPr>
              <w:pStyle w:val="Style34"/>
              <w:widowControl/>
              <w:jc w:val="right"/>
              <w:rPr>
                <w:rStyle w:val="FontStyle96"/>
                <w:sz w:val="16"/>
                <w:szCs w:val="16"/>
              </w:rPr>
            </w:pPr>
            <w:r>
              <w:rPr>
                <w:rStyle w:val="FontStyle96"/>
                <w:sz w:val="16"/>
              </w:rPr>
              <w:t>324,902</w:t>
            </w:r>
          </w:p>
        </w:tc>
        <w:tc>
          <w:tcPr>
            <w:tcW w:w="1134" w:type="dxa"/>
            <w:tcBorders>
              <w:top w:val="nil"/>
              <w:left w:val="nil"/>
              <w:bottom w:val="nil"/>
              <w:right w:val="nil"/>
            </w:tcBorders>
          </w:tcPr>
          <w:p w:rsidR="00EF4B60" w:rsidRPr="001735F9" w:rsidRDefault="00EF4B60" w:rsidP="00F51C52">
            <w:pPr>
              <w:pStyle w:val="Style34"/>
              <w:widowControl/>
              <w:ind w:right="5"/>
              <w:jc w:val="right"/>
              <w:rPr>
                <w:rStyle w:val="FontStyle96"/>
                <w:sz w:val="16"/>
                <w:szCs w:val="16"/>
              </w:rPr>
            </w:pPr>
            <w:r>
              <w:rPr>
                <w:rStyle w:val="FontStyle96"/>
                <w:sz w:val="16"/>
              </w:rPr>
              <w:t>193,169</w:t>
            </w: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1735F9" w:rsidRDefault="00EF4B60" w:rsidP="00F51C52">
            <w:pPr>
              <w:pStyle w:val="Style34"/>
              <w:widowControl/>
              <w:rPr>
                <w:rStyle w:val="FontStyle96"/>
                <w:sz w:val="16"/>
                <w:szCs w:val="16"/>
              </w:rPr>
            </w:pPr>
            <w:r>
              <w:rPr>
                <w:rStyle w:val="FontStyle96"/>
                <w:sz w:val="16"/>
              </w:rPr>
              <w:t>Cargos bancarios</w:t>
            </w:r>
          </w:p>
        </w:tc>
        <w:tc>
          <w:tcPr>
            <w:tcW w:w="1134" w:type="dxa"/>
            <w:tcBorders>
              <w:top w:val="nil"/>
              <w:left w:val="nil"/>
              <w:bottom w:val="single" w:sz="6" w:space="0" w:color="auto"/>
              <w:right w:val="nil"/>
            </w:tcBorders>
          </w:tcPr>
          <w:p w:rsidR="00EF4B60" w:rsidRPr="001735F9" w:rsidRDefault="00EF4B60" w:rsidP="00F51C52">
            <w:pPr>
              <w:pStyle w:val="Style34"/>
              <w:widowControl/>
              <w:jc w:val="right"/>
              <w:rPr>
                <w:rStyle w:val="FontStyle96"/>
                <w:sz w:val="16"/>
                <w:szCs w:val="16"/>
              </w:rPr>
            </w:pPr>
            <w:r>
              <w:rPr>
                <w:rStyle w:val="FontStyle96"/>
                <w:sz w:val="16"/>
              </w:rPr>
              <w:t>820</w:t>
            </w:r>
          </w:p>
        </w:tc>
        <w:tc>
          <w:tcPr>
            <w:tcW w:w="1134" w:type="dxa"/>
            <w:tcBorders>
              <w:top w:val="nil"/>
              <w:left w:val="nil"/>
              <w:bottom w:val="single" w:sz="6" w:space="0" w:color="auto"/>
              <w:right w:val="nil"/>
            </w:tcBorders>
          </w:tcPr>
          <w:p w:rsidR="00EF4B60" w:rsidRPr="001735F9" w:rsidRDefault="00EF4B60" w:rsidP="00F51C52">
            <w:pPr>
              <w:pStyle w:val="Style34"/>
              <w:widowControl/>
              <w:jc w:val="right"/>
              <w:rPr>
                <w:rStyle w:val="FontStyle96"/>
                <w:sz w:val="16"/>
                <w:szCs w:val="16"/>
              </w:rPr>
            </w:pPr>
            <w:r>
              <w:rPr>
                <w:rStyle w:val="FontStyle96"/>
                <w:sz w:val="16"/>
              </w:rPr>
              <w:t>2,264</w:t>
            </w:r>
          </w:p>
        </w:tc>
        <w:tc>
          <w:tcPr>
            <w:tcW w:w="1134" w:type="dxa"/>
            <w:tcBorders>
              <w:top w:val="nil"/>
              <w:left w:val="nil"/>
              <w:bottom w:val="single" w:sz="6" w:space="0" w:color="auto"/>
              <w:right w:val="nil"/>
            </w:tcBorders>
          </w:tcPr>
          <w:p w:rsidR="00EF4B60" w:rsidRPr="001735F9" w:rsidRDefault="00EF4B60" w:rsidP="00F51C52">
            <w:pPr>
              <w:pStyle w:val="Style34"/>
              <w:widowControl/>
              <w:jc w:val="right"/>
              <w:rPr>
                <w:rStyle w:val="FontStyle96"/>
                <w:sz w:val="16"/>
                <w:szCs w:val="16"/>
              </w:rPr>
            </w:pPr>
            <w:r>
              <w:rPr>
                <w:rStyle w:val="FontStyle96"/>
                <w:sz w:val="16"/>
              </w:rPr>
              <w:t>(1,444)</w:t>
            </w: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1735F9" w:rsidRDefault="00EF4B60" w:rsidP="00F51C52">
            <w:pPr>
              <w:pStyle w:val="Style34"/>
              <w:widowControl/>
              <w:rPr>
                <w:rStyle w:val="FontStyle96"/>
                <w:sz w:val="16"/>
                <w:szCs w:val="16"/>
              </w:rPr>
            </w:pPr>
            <w:r>
              <w:rPr>
                <w:rStyle w:val="FontStyle96"/>
                <w:sz w:val="16"/>
              </w:rPr>
              <w:t>Total de otros gastos</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518,890</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327,166</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ind w:right="5"/>
              <w:jc w:val="right"/>
              <w:rPr>
                <w:rStyle w:val="FontStyle99"/>
                <w:sz w:val="16"/>
                <w:szCs w:val="16"/>
              </w:rPr>
            </w:pPr>
            <w:r>
              <w:rPr>
                <w:rStyle w:val="FontStyle99"/>
                <w:sz w:val="16"/>
              </w:rPr>
              <w:t>191,724</w:t>
            </w: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1735F9" w:rsidRDefault="00EF4B60" w:rsidP="00F51C52">
            <w:pPr>
              <w:pStyle w:val="Style61"/>
              <w:widowControl/>
              <w:rPr>
                <w:rStyle w:val="FontStyle99"/>
                <w:sz w:val="16"/>
                <w:szCs w:val="16"/>
              </w:rPr>
            </w:pP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ind w:right="5"/>
              <w:jc w:val="right"/>
              <w:rPr>
                <w:rStyle w:val="FontStyle99"/>
                <w:sz w:val="16"/>
                <w:szCs w:val="16"/>
              </w:rPr>
            </w:pP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1735F9" w:rsidRDefault="00EF4B60" w:rsidP="00F51C52">
            <w:pPr>
              <w:pStyle w:val="Style61"/>
              <w:widowControl/>
              <w:rPr>
                <w:rStyle w:val="FontStyle99"/>
                <w:sz w:val="16"/>
                <w:szCs w:val="16"/>
              </w:rPr>
            </w:pPr>
            <w:r>
              <w:rPr>
                <w:rStyle w:val="FontStyle99"/>
                <w:sz w:val="16"/>
              </w:rPr>
              <w:t>Total de desembolsos</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rPr>
              <w:t>11</w:t>
            </w:r>
            <w:r>
              <w:rPr>
                <w:rStyle w:val="FontStyle99"/>
                <w:sz w:val="16"/>
              </w:rPr>
              <w:t>,339,099</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ind w:right="5"/>
              <w:jc w:val="right"/>
              <w:rPr>
                <w:rStyle w:val="FontStyle99"/>
                <w:sz w:val="16"/>
                <w:szCs w:val="16"/>
              </w:rPr>
            </w:pPr>
            <w:r>
              <w:rPr>
                <w:rStyle w:val="FontStyle99"/>
                <w:sz w:val="16"/>
              </w:rPr>
              <w:t>11,613,865</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(274,766)</w:t>
            </w: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1735F9" w:rsidRDefault="00EF4B60" w:rsidP="00F51C52">
            <w:pPr>
              <w:pStyle w:val="Style61"/>
              <w:widowControl/>
              <w:rPr>
                <w:rStyle w:val="FontStyle99"/>
                <w:sz w:val="16"/>
                <w:szCs w:val="16"/>
              </w:rPr>
            </w:pP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ind w:right="5"/>
              <w:jc w:val="right"/>
              <w:rPr>
                <w:rStyle w:val="FontStyle99"/>
                <w:sz w:val="16"/>
                <w:szCs w:val="16"/>
              </w:rPr>
            </w:pP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1735F9" w:rsidRDefault="00EF4B60" w:rsidP="00F51C52">
            <w:pPr>
              <w:pStyle w:val="Style61"/>
              <w:widowControl/>
              <w:rPr>
                <w:rStyle w:val="FontStyle99"/>
                <w:sz w:val="16"/>
                <w:szCs w:val="16"/>
              </w:rPr>
            </w:pPr>
            <w:r>
              <w:rPr>
                <w:rStyle w:val="FontStyle99"/>
                <w:sz w:val="16"/>
              </w:rPr>
              <w:t>Entradas de efectivo menos desembolsos</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581,815</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ind w:right="5"/>
              <w:jc w:val="right"/>
              <w:rPr>
                <w:rStyle w:val="FontStyle99"/>
                <w:sz w:val="16"/>
                <w:szCs w:val="16"/>
              </w:rPr>
            </w:pPr>
            <w:r>
              <w:rPr>
                <w:rStyle w:val="FontStyle99"/>
                <w:sz w:val="16"/>
              </w:rPr>
              <w:t>23,700,062</w:t>
            </w:r>
          </w:p>
        </w:tc>
        <w:tc>
          <w:tcPr>
            <w:tcW w:w="1134" w:type="dxa"/>
            <w:tcBorders>
              <w:top w:val="single" w:sz="6" w:space="0" w:color="auto"/>
              <w:left w:val="nil"/>
              <w:bottom w:val="single" w:sz="6"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(23,118,247)</w:t>
            </w: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1735F9" w:rsidRDefault="00EF4B60" w:rsidP="00F51C52">
            <w:pPr>
              <w:pStyle w:val="Style34"/>
              <w:widowControl/>
              <w:rPr>
                <w:rStyle w:val="FontStyle96"/>
                <w:sz w:val="16"/>
                <w:szCs w:val="16"/>
              </w:rPr>
            </w:pPr>
          </w:p>
        </w:tc>
        <w:tc>
          <w:tcPr>
            <w:tcW w:w="1134" w:type="dxa"/>
            <w:tcBorders>
              <w:top w:val="single" w:sz="6" w:space="0" w:color="auto"/>
              <w:left w:val="nil"/>
              <w:right w:val="nil"/>
            </w:tcBorders>
          </w:tcPr>
          <w:p w:rsidR="00EF4B60" w:rsidRPr="001735F9" w:rsidRDefault="00EF4B60" w:rsidP="00F51C52">
            <w:pPr>
              <w:pStyle w:val="Style34"/>
              <w:widowControl/>
              <w:ind w:right="10"/>
              <w:jc w:val="right"/>
              <w:rPr>
                <w:rStyle w:val="FontStyle96"/>
                <w:sz w:val="16"/>
                <w:szCs w:val="16"/>
              </w:rPr>
            </w:pPr>
          </w:p>
        </w:tc>
        <w:tc>
          <w:tcPr>
            <w:tcW w:w="1134" w:type="dxa"/>
            <w:tcBorders>
              <w:top w:val="single" w:sz="6" w:space="0" w:color="auto"/>
              <w:left w:val="nil"/>
              <w:right w:val="nil"/>
            </w:tcBorders>
          </w:tcPr>
          <w:p w:rsidR="00EF4B60" w:rsidRPr="001735F9" w:rsidRDefault="00EF4B60" w:rsidP="00F51C52">
            <w:pPr>
              <w:pStyle w:val="Style34"/>
              <w:widowControl/>
              <w:jc w:val="right"/>
              <w:rPr>
                <w:rStyle w:val="FontStyle96"/>
                <w:sz w:val="16"/>
                <w:szCs w:val="16"/>
              </w:rPr>
            </w:pPr>
          </w:p>
        </w:tc>
        <w:tc>
          <w:tcPr>
            <w:tcW w:w="1134" w:type="dxa"/>
            <w:tcBorders>
              <w:top w:val="single" w:sz="6" w:space="0" w:color="auto"/>
              <w:left w:val="nil"/>
              <w:right w:val="nil"/>
            </w:tcBorders>
          </w:tcPr>
          <w:p w:rsidR="00EF4B60" w:rsidRPr="001735F9" w:rsidRDefault="00EF4B60" w:rsidP="00F51C52">
            <w:pPr>
              <w:pStyle w:val="Style34"/>
              <w:widowControl/>
              <w:ind w:left="331"/>
              <w:jc w:val="right"/>
              <w:rPr>
                <w:rStyle w:val="FontStyle96"/>
                <w:sz w:val="16"/>
                <w:szCs w:val="16"/>
              </w:rPr>
            </w:pP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1735F9" w:rsidRDefault="00EF4B60" w:rsidP="00F51C52">
            <w:pPr>
              <w:pStyle w:val="Style34"/>
              <w:widowControl/>
              <w:rPr>
                <w:rStyle w:val="FontStyle96"/>
                <w:sz w:val="16"/>
                <w:szCs w:val="16"/>
              </w:rPr>
            </w:pPr>
            <w:r>
              <w:rPr>
                <w:rStyle w:val="FontStyle96"/>
                <w:sz w:val="16"/>
              </w:rPr>
              <w:t>Ganancia/(pérdida) por conversión de moneda extranjera</w:t>
            </w:r>
          </w:p>
        </w:tc>
        <w:tc>
          <w:tcPr>
            <w:tcW w:w="1134" w:type="dxa"/>
            <w:tcBorders>
              <w:left w:val="nil"/>
              <w:bottom w:val="single" w:sz="6" w:space="0" w:color="auto"/>
              <w:right w:val="nil"/>
            </w:tcBorders>
          </w:tcPr>
          <w:p w:rsidR="00EF4B60" w:rsidRPr="001735F9" w:rsidRDefault="00EF4B60" w:rsidP="00F51C52">
            <w:pPr>
              <w:pStyle w:val="Style34"/>
              <w:widowControl/>
              <w:ind w:right="10"/>
              <w:jc w:val="right"/>
              <w:rPr>
                <w:rStyle w:val="FontStyle96"/>
                <w:sz w:val="16"/>
                <w:szCs w:val="16"/>
              </w:rPr>
            </w:pPr>
            <w:r>
              <w:rPr>
                <w:rStyle w:val="FontStyle96"/>
                <w:sz w:val="16"/>
              </w:rPr>
              <w:t>8,425</w:t>
            </w:r>
          </w:p>
        </w:tc>
        <w:tc>
          <w:tcPr>
            <w:tcW w:w="1134" w:type="dxa"/>
            <w:tcBorders>
              <w:left w:val="nil"/>
              <w:bottom w:val="single" w:sz="6" w:space="0" w:color="auto"/>
              <w:right w:val="nil"/>
            </w:tcBorders>
          </w:tcPr>
          <w:p w:rsidR="00EF4B60" w:rsidRPr="001735F9" w:rsidRDefault="00EF4B60" w:rsidP="00F51C52">
            <w:pPr>
              <w:pStyle w:val="Style34"/>
              <w:widowControl/>
              <w:jc w:val="right"/>
              <w:rPr>
                <w:rStyle w:val="FontStyle96"/>
                <w:sz w:val="16"/>
                <w:szCs w:val="16"/>
              </w:rPr>
            </w:pPr>
            <w:r>
              <w:rPr>
                <w:rStyle w:val="FontStyle96"/>
                <w:sz w:val="16"/>
              </w:rPr>
              <w:t>0</w:t>
            </w:r>
          </w:p>
        </w:tc>
        <w:tc>
          <w:tcPr>
            <w:tcW w:w="1134" w:type="dxa"/>
            <w:tcBorders>
              <w:left w:val="nil"/>
              <w:bottom w:val="single" w:sz="6" w:space="0" w:color="auto"/>
              <w:right w:val="nil"/>
            </w:tcBorders>
          </w:tcPr>
          <w:p w:rsidR="00EF4B60" w:rsidRPr="001735F9" w:rsidRDefault="00EF4B60" w:rsidP="00F51C52">
            <w:pPr>
              <w:pStyle w:val="Style34"/>
              <w:widowControl/>
              <w:ind w:left="331"/>
              <w:jc w:val="right"/>
              <w:rPr>
                <w:rStyle w:val="FontStyle96"/>
                <w:sz w:val="16"/>
                <w:szCs w:val="16"/>
              </w:rPr>
            </w:pPr>
            <w:r>
              <w:rPr>
                <w:rStyle w:val="FontStyle96"/>
                <w:sz w:val="16"/>
              </w:rPr>
              <w:t>8,425</w:t>
            </w: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1735F9" w:rsidRDefault="00EF4B60" w:rsidP="00F51C52">
            <w:pPr>
              <w:pStyle w:val="Style61"/>
              <w:widowControl/>
              <w:rPr>
                <w:rStyle w:val="FontStyle99"/>
                <w:sz w:val="16"/>
                <w:szCs w:val="16"/>
              </w:rPr>
            </w:pPr>
          </w:p>
        </w:tc>
        <w:tc>
          <w:tcPr>
            <w:tcW w:w="1134" w:type="dxa"/>
            <w:tcBorders>
              <w:top w:val="single" w:sz="6" w:space="0" w:color="auto"/>
              <w:left w:val="nil"/>
              <w:right w:val="nil"/>
            </w:tcBorders>
          </w:tcPr>
          <w:p w:rsidR="00EF4B60" w:rsidRPr="001735F9" w:rsidRDefault="00EF4B60" w:rsidP="00F51C52">
            <w:pPr>
              <w:pStyle w:val="Style61"/>
              <w:widowControl/>
              <w:ind w:right="5"/>
              <w:jc w:val="right"/>
              <w:rPr>
                <w:rStyle w:val="FontStyle99"/>
                <w:sz w:val="16"/>
                <w:szCs w:val="16"/>
              </w:rPr>
            </w:pPr>
          </w:p>
        </w:tc>
        <w:tc>
          <w:tcPr>
            <w:tcW w:w="1134" w:type="dxa"/>
            <w:tcBorders>
              <w:top w:val="single" w:sz="6" w:space="0" w:color="auto"/>
              <w:left w:val="nil"/>
              <w:right w:val="nil"/>
            </w:tcBorders>
          </w:tcPr>
          <w:p w:rsidR="00EF4B60" w:rsidRPr="001735F9" w:rsidRDefault="00EF4B60" w:rsidP="00F51C52">
            <w:pPr>
              <w:pStyle w:val="Style61"/>
              <w:widowControl/>
              <w:ind w:right="5"/>
              <w:jc w:val="right"/>
              <w:rPr>
                <w:rStyle w:val="FontStyle99"/>
                <w:sz w:val="16"/>
                <w:szCs w:val="16"/>
              </w:rPr>
            </w:pPr>
          </w:p>
        </w:tc>
        <w:tc>
          <w:tcPr>
            <w:tcW w:w="1134" w:type="dxa"/>
            <w:tcBorders>
              <w:top w:val="single" w:sz="6" w:space="0" w:color="auto"/>
              <w:left w:val="nil"/>
              <w:right w:val="nil"/>
            </w:tcBorders>
          </w:tcPr>
          <w:p w:rsidR="00EF4B60" w:rsidRPr="001735F9" w:rsidRDefault="00EF4B60" w:rsidP="00F51C52">
            <w:pPr>
              <w:pStyle w:val="Style61"/>
              <w:widowControl/>
              <w:jc w:val="right"/>
              <w:rPr>
                <w:rStyle w:val="FontStyle99"/>
                <w:sz w:val="16"/>
                <w:szCs w:val="16"/>
              </w:rPr>
            </w:pPr>
          </w:p>
        </w:tc>
      </w:tr>
      <w:tr w:rsidR="00EF4B60" w:rsidRPr="001735F9" w:rsidTr="00915E8A">
        <w:tblPrEx>
          <w:tblCellMar>
            <w:top w:w="0" w:type="dxa"/>
            <w:bottom w:w="0" w:type="dxa"/>
          </w:tblCellMar>
        </w:tblPrEx>
        <w:tc>
          <w:tcPr>
            <w:tcW w:w="5103" w:type="dxa"/>
            <w:tcBorders>
              <w:top w:val="nil"/>
              <w:left w:val="nil"/>
              <w:bottom w:val="nil"/>
              <w:right w:val="nil"/>
            </w:tcBorders>
          </w:tcPr>
          <w:p w:rsidR="00EF4B60" w:rsidRPr="001735F9" w:rsidRDefault="00EF4B60" w:rsidP="00F51C52">
            <w:pPr>
              <w:pStyle w:val="Style61"/>
              <w:widowControl/>
              <w:rPr>
                <w:rStyle w:val="FontStyle99"/>
                <w:sz w:val="16"/>
                <w:szCs w:val="16"/>
              </w:rPr>
            </w:pPr>
            <w:r>
              <w:rPr>
                <w:rStyle w:val="FontStyle99"/>
                <w:sz w:val="16"/>
              </w:rPr>
              <w:t>Saldo de caja final, 30 de septiembre de 2010</w:t>
            </w:r>
          </w:p>
        </w:tc>
        <w:tc>
          <w:tcPr>
            <w:tcW w:w="1134" w:type="dxa"/>
            <w:tcBorders>
              <w:left w:val="nil"/>
              <w:bottom w:val="double" w:sz="4" w:space="0" w:color="auto"/>
              <w:right w:val="nil"/>
            </w:tcBorders>
          </w:tcPr>
          <w:p w:rsidR="00EF4B60" w:rsidRPr="001735F9" w:rsidRDefault="00EF4B60" w:rsidP="00F51C52">
            <w:pPr>
              <w:pStyle w:val="Style61"/>
              <w:widowControl/>
              <w:ind w:right="5"/>
              <w:jc w:val="right"/>
              <w:rPr>
                <w:rStyle w:val="FontStyle99"/>
                <w:sz w:val="16"/>
                <w:szCs w:val="16"/>
              </w:rPr>
            </w:pPr>
            <w:r>
              <w:rPr>
                <w:rStyle w:val="FontStyle99"/>
                <w:sz w:val="16"/>
              </w:rPr>
              <w:t>10,550,535</w:t>
            </w:r>
          </w:p>
        </w:tc>
        <w:tc>
          <w:tcPr>
            <w:tcW w:w="1134" w:type="dxa"/>
            <w:tcBorders>
              <w:left w:val="nil"/>
              <w:bottom w:val="double" w:sz="4" w:space="0" w:color="auto"/>
              <w:right w:val="nil"/>
            </w:tcBorders>
          </w:tcPr>
          <w:p w:rsidR="00EF4B60" w:rsidRPr="001735F9" w:rsidRDefault="00EF4B60" w:rsidP="00F51C52">
            <w:pPr>
              <w:pStyle w:val="Style61"/>
              <w:widowControl/>
              <w:ind w:right="5"/>
              <w:jc w:val="right"/>
              <w:rPr>
                <w:rStyle w:val="FontStyle99"/>
                <w:sz w:val="16"/>
                <w:szCs w:val="16"/>
              </w:rPr>
            </w:pPr>
            <w:r>
              <w:rPr>
                <w:rStyle w:val="FontStyle99"/>
                <w:sz w:val="16"/>
              </w:rPr>
              <w:t>33,660,357</w:t>
            </w:r>
          </w:p>
        </w:tc>
        <w:tc>
          <w:tcPr>
            <w:tcW w:w="1134" w:type="dxa"/>
            <w:tcBorders>
              <w:left w:val="nil"/>
              <w:bottom w:val="double" w:sz="4" w:space="0" w:color="auto"/>
              <w:right w:val="nil"/>
            </w:tcBorders>
          </w:tcPr>
          <w:p w:rsidR="00EF4B60" w:rsidRPr="001735F9" w:rsidRDefault="00EF4B60" w:rsidP="00F51C52">
            <w:pPr>
              <w:pStyle w:val="Style61"/>
              <w:widowControl/>
              <w:jc w:val="right"/>
              <w:rPr>
                <w:rStyle w:val="FontStyle99"/>
                <w:sz w:val="16"/>
                <w:szCs w:val="16"/>
              </w:rPr>
            </w:pPr>
            <w:r>
              <w:rPr>
                <w:rStyle w:val="FontStyle99"/>
                <w:sz w:val="16"/>
              </w:rPr>
              <w:t>(23,109,822)</w:t>
            </w:r>
          </w:p>
        </w:tc>
      </w:tr>
    </w:tbl>
    <w:p w:rsidR="00EF4B60" w:rsidRPr="001735F9" w:rsidRDefault="00EF4B60" w:rsidP="00F51C52">
      <w:pPr>
        <w:pStyle w:val="Style35"/>
        <w:widowControl/>
        <w:spacing w:before="24"/>
        <w:ind w:left="3072"/>
        <w:jc w:val="left"/>
        <w:rPr>
          <w:rStyle w:val="FontStyle96"/>
          <w:sz w:val="16"/>
          <w:szCs w:val="16"/>
        </w:rPr>
      </w:pPr>
    </w:p>
    <w:p w:rsidR="00EF4B60" w:rsidRPr="001735F9" w:rsidRDefault="00EF4B60" w:rsidP="00F51C52">
      <w:pPr>
        <w:pStyle w:val="Style35"/>
        <w:widowControl/>
        <w:spacing w:before="24"/>
        <w:ind w:left="3072"/>
        <w:jc w:val="left"/>
        <w:rPr>
          <w:rStyle w:val="FontStyle96"/>
          <w:sz w:val="16"/>
          <w:szCs w:val="16"/>
        </w:rPr>
      </w:pPr>
    </w:p>
    <w:p w:rsidR="00EF4B60" w:rsidRPr="00F364F3" w:rsidRDefault="00EF4B60" w:rsidP="00F51C52">
      <w:pPr>
        <w:pStyle w:val="Style26"/>
        <w:widowControl/>
        <w:rPr>
          <w:rStyle w:val="FontStyle99"/>
          <w:sz w:val="16"/>
          <w:szCs w:val="16"/>
          <w:u w:val="single"/>
        </w:rPr>
      </w:pPr>
      <w:r w:rsidRPr="00F364F3">
        <w:rPr>
          <w:rStyle w:val="FontStyle99"/>
          <w:sz w:val="16"/>
          <w:szCs w:val="16"/>
          <w:u w:val="single"/>
        </w:rPr>
        <w:t>Notas:</w:t>
      </w:r>
    </w:p>
    <w:p w:rsidR="00EF4B60" w:rsidRPr="006F5C3C" w:rsidRDefault="00EF4B60" w:rsidP="00F51C52">
      <w:pPr>
        <w:pStyle w:val="Style35"/>
        <w:widowControl/>
        <w:jc w:val="left"/>
        <w:rPr>
          <w:rStyle w:val="FontStyle96"/>
          <w:sz w:val="16"/>
          <w:szCs w:val="16"/>
        </w:rPr>
      </w:pPr>
      <w:r w:rsidRPr="006F5C3C">
        <w:rPr>
          <w:rStyle w:val="FontStyle96"/>
          <w:sz w:val="16"/>
          <w:szCs w:val="16"/>
        </w:rPr>
        <w:t>Todos los saldos de caja son registrados por USI según su valor contable.</w:t>
      </w:r>
    </w:p>
    <w:p w:rsidR="00EF4B60" w:rsidRPr="006F5C3C" w:rsidRDefault="00EF4B60" w:rsidP="00F51C52">
      <w:pPr>
        <w:pStyle w:val="Style35"/>
        <w:widowControl/>
        <w:jc w:val="left"/>
        <w:rPr>
          <w:rStyle w:val="FontStyle96"/>
          <w:sz w:val="16"/>
          <w:szCs w:val="16"/>
        </w:rPr>
      </w:pPr>
    </w:p>
    <w:p w:rsidR="00EF4B60" w:rsidRPr="006F5C3C" w:rsidRDefault="00EF4B60" w:rsidP="00F51C52">
      <w:pPr>
        <w:pStyle w:val="Style35"/>
        <w:widowControl/>
        <w:jc w:val="left"/>
        <w:rPr>
          <w:rStyle w:val="FontStyle96"/>
          <w:sz w:val="16"/>
          <w:szCs w:val="16"/>
        </w:rPr>
      </w:pPr>
      <w:r w:rsidRPr="006F5C3C">
        <w:rPr>
          <w:rStyle w:val="FontStyle96"/>
          <w:sz w:val="16"/>
          <w:szCs w:val="16"/>
        </w:rPr>
        <w:t>Se utilizó una tasa de cambio de USD/CAD 0.95.</w:t>
      </w:r>
    </w:p>
    <w:p w:rsidR="00EF4B60" w:rsidRPr="006F5C3C" w:rsidRDefault="00EF4B60" w:rsidP="00F51C52">
      <w:pPr>
        <w:pStyle w:val="Style35"/>
        <w:widowControl/>
        <w:jc w:val="left"/>
        <w:rPr>
          <w:rStyle w:val="FontStyle96"/>
          <w:sz w:val="16"/>
          <w:szCs w:val="16"/>
        </w:rPr>
      </w:pPr>
    </w:p>
    <w:p w:rsidR="00EF4B60" w:rsidRPr="006F5C3C" w:rsidRDefault="00EF4B60" w:rsidP="00F51C52">
      <w:pPr>
        <w:pStyle w:val="Style35"/>
        <w:widowControl/>
        <w:ind w:right="1849"/>
        <w:jc w:val="left"/>
        <w:rPr>
          <w:rStyle w:val="FontStyle96"/>
          <w:sz w:val="16"/>
          <w:szCs w:val="16"/>
        </w:rPr>
      </w:pPr>
      <w:r w:rsidRPr="006F5C3C">
        <w:rPr>
          <w:rStyle w:val="FontStyle96"/>
          <w:sz w:val="16"/>
          <w:szCs w:val="16"/>
        </w:rPr>
        <w:t>La ganancia/pérdida por conversión de moneda extranjera es la diferencia entre las transferencias realizadas durante el Período del Informe según la tasa variable real y la tasa de cambio utilizada en el flujo de caja.</w:t>
      </w:r>
    </w:p>
    <w:p w:rsidR="00EF4B60" w:rsidRDefault="00EF4B60" w:rsidP="00F51C52">
      <w:pPr>
        <w:pStyle w:val="Style79"/>
        <w:widowControl/>
        <w:sectPr w:rsidR="00EF4B60" w:rsidSect="00915E8A">
          <w:pgSz w:w="12242" w:h="15842" w:code="1"/>
          <w:pgMar w:top="1440" w:right="1440" w:bottom="1440" w:left="1440" w:header="720" w:footer="720" w:gutter="0"/>
          <w:pgNumType w:fmt="numberInDash"/>
          <w:cols w:space="60"/>
          <w:noEndnote/>
        </w:sectPr>
      </w:pPr>
    </w:p>
    <w:p w:rsidR="00EF4B60" w:rsidRPr="001735F9" w:rsidRDefault="00EF4B60" w:rsidP="00F51C52">
      <w:pPr>
        <w:pStyle w:val="Style79"/>
        <w:widowControl/>
        <w:spacing w:line="653" w:lineRule="exact"/>
        <w:jc w:val="both"/>
        <w:rPr>
          <w:rStyle w:val="FontStyle101"/>
        </w:rPr>
      </w:pPr>
    </w:p>
    <w:p w:rsidR="00EF4B60" w:rsidRPr="001735F9" w:rsidRDefault="00EF4B60" w:rsidP="00F51C52">
      <w:pPr>
        <w:pStyle w:val="Style79"/>
        <w:widowControl/>
        <w:spacing w:line="653" w:lineRule="exact"/>
        <w:jc w:val="both"/>
        <w:rPr>
          <w:rStyle w:val="FontStyle101"/>
        </w:rPr>
      </w:pPr>
    </w:p>
    <w:p w:rsidR="00EF4B60" w:rsidRPr="001735F9" w:rsidRDefault="00EF4B60" w:rsidP="00F51C52">
      <w:pPr>
        <w:pStyle w:val="Style79"/>
        <w:widowControl/>
        <w:spacing w:line="653" w:lineRule="exact"/>
        <w:jc w:val="both"/>
        <w:rPr>
          <w:rStyle w:val="FontStyle101"/>
        </w:rPr>
      </w:pPr>
    </w:p>
    <w:p w:rsidR="00EF4B60" w:rsidRPr="001735F9" w:rsidRDefault="00EF4B60" w:rsidP="00F51C52">
      <w:pPr>
        <w:pStyle w:val="Style79"/>
        <w:widowControl/>
        <w:spacing w:line="653" w:lineRule="exact"/>
        <w:jc w:val="both"/>
        <w:rPr>
          <w:rStyle w:val="FontStyle101"/>
        </w:rPr>
      </w:pPr>
    </w:p>
    <w:p w:rsidR="00EF4B60" w:rsidRPr="001735F9" w:rsidRDefault="00EF4B60" w:rsidP="00F51C52">
      <w:pPr>
        <w:pStyle w:val="Style79"/>
        <w:widowControl/>
        <w:spacing w:line="653" w:lineRule="exact"/>
        <w:jc w:val="both"/>
        <w:rPr>
          <w:rStyle w:val="FontStyle101"/>
        </w:rPr>
      </w:pPr>
    </w:p>
    <w:p w:rsidR="00EF4B60" w:rsidRPr="001735F9" w:rsidRDefault="00EF4B60" w:rsidP="00F51C52">
      <w:pPr>
        <w:pStyle w:val="Style79"/>
        <w:widowControl/>
        <w:spacing w:line="653" w:lineRule="exact"/>
        <w:jc w:val="both"/>
        <w:rPr>
          <w:rStyle w:val="FontStyle101"/>
        </w:rPr>
      </w:pPr>
    </w:p>
    <w:p w:rsidR="00EF4B60" w:rsidRDefault="00EF4B60" w:rsidP="00F51C52">
      <w:pPr>
        <w:pStyle w:val="Style79"/>
        <w:widowControl/>
        <w:spacing w:line="653" w:lineRule="exact"/>
        <w:jc w:val="center"/>
        <w:rPr>
          <w:rStyle w:val="FontStyle101"/>
        </w:rPr>
      </w:pPr>
    </w:p>
    <w:p w:rsidR="00EF4B60" w:rsidRDefault="00EF4B60" w:rsidP="00F51C52">
      <w:pPr>
        <w:pStyle w:val="Style79"/>
        <w:widowControl/>
        <w:spacing w:line="653" w:lineRule="exact"/>
        <w:jc w:val="center"/>
        <w:rPr>
          <w:rStyle w:val="FontStyle101"/>
        </w:rPr>
      </w:pPr>
    </w:p>
    <w:p w:rsidR="00EF4B60" w:rsidRDefault="00EF4B60" w:rsidP="00F51C52">
      <w:pPr>
        <w:pStyle w:val="Style79"/>
        <w:widowControl/>
        <w:spacing w:line="653" w:lineRule="exact"/>
        <w:jc w:val="center"/>
        <w:rPr>
          <w:rStyle w:val="FontStyle101"/>
        </w:rPr>
      </w:pPr>
    </w:p>
    <w:p w:rsidR="00EF4B60" w:rsidRPr="001735F9" w:rsidRDefault="00EF4B60" w:rsidP="00F51C52">
      <w:pPr>
        <w:pStyle w:val="Style79"/>
        <w:widowControl/>
        <w:spacing w:line="653" w:lineRule="exact"/>
        <w:jc w:val="center"/>
        <w:rPr>
          <w:rStyle w:val="FontStyle101"/>
          <w:spacing w:val="-40"/>
        </w:rPr>
      </w:pPr>
      <w:r>
        <w:rPr>
          <w:rStyle w:val="FontStyle101"/>
        </w:rPr>
        <w:t xml:space="preserve">Apéndice </w:t>
      </w:r>
      <w:r>
        <w:rPr>
          <w:rStyle w:val="FontStyle101"/>
          <w:spacing w:val="-40"/>
        </w:rPr>
        <w:t>“D”</w:t>
      </w:r>
    </w:p>
    <w:p w:rsidR="00EF4B60" w:rsidRPr="00EC29C6" w:rsidRDefault="00EF4B60" w:rsidP="00F51C52">
      <w:pPr>
        <w:pStyle w:val="Style14"/>
        <w:widowControl/>
        <w:rPr>
          <w:rStyle w:val="FontStyle91"/>
          <w:sz w:val="18"/>
          <w:szCs w:val="18"/>
        </w:rPr>
      </w:pPr>
      <w:r>
        <w:br w:type="page"/>
      </w:r>
      <w:r w:rsidRPr="00EC29C6">
        <w:rPr>
          <w:rStyle w:val="FontStyle91"/>
          <w:sz w:val="18"/>
          <w:szCs w:val="18"/>
        </w:rPr>
        <w:lastRenderedPageBreak/>
        <w:t xml:space="preserve">APÉNDICE “D” </w:t>
      </w:r>
    </w:p>
    <w:p w:rsidR="00EF4B60" w:rsidRPr="00EC29C6" w:rsidRDefault="00EF4B60" w:rsidP="00F51C52">
      <w:pPr>
        <w:pStyle w:val="Style14"/>
        <w:widowControl/>
        <w:rPr>
          <w:rStyle w:val="FontStyle91"/>
          <w:sz w:val="18"/>
          <w:szCs w:val="18"/>
        </w:rPr>
      </w:pPr>
      <w:r w:rsidRPr="00EC29C6">
        <w:rPr>
          <w:rStyle w:val="FontStyle91"/>
          <w:sz w:val="18"/>
          <w:szCs w:val="18"/>
        </w:rPr>
        <w:t>Preparado por USI</w:t>
      </w:r>
    </w:p>
    <w:p w:rsidR="00EF4B60" w:rsidRPr="001735F9" w:rsidRDefault="00EF4B60" w:rsidP="00F51C52">
      <w:pPr>
        <w:pStyle w:val="Style2"/>
        <w:widowControl/>
        <w:spacing w:line="240" w:lineRule="exact"/>
        <w:rPr>
          <w:sz w:val="20"/>
          <w:szCs w:val="20"/>
        </w:rPr>
      </w:pPr>
    </w:p>
    <w:p w:rsidR="00EF4B60" w:rsidRPr="001735F9" w:rsidRDefault="00EF4B60" w:rsidP="00F51C52">
      <w:pPr>
        <w:pStyle w:val="Style2"/>
        <w:widowControl/>
        <w:spacing w:line="240" w:lineRule="exact"/>
        <w:rPr>
          <w:sz w:val="20"/>
          <w:szCs w:val="20"/>
        </w:rPr>
      </w:pPr>
    </w:p>
    <w:p w:rsidR="00EF4B60" w:rsidRPr="001735F9" w:rsidRDefault="00EF4B60" w:rsidP="00F51C52">
      <w:pPr>
        <w:pStyle w:val="Style14"/>
        <w:widowControl/>
        <w:spacing w:line="274" w:lineRule="exact"/>
        <w:rPr>
          <w:rStyle w:val="FontStyle91"/>
        </w:rPr>
      </w:pPr>
      <w:r>
        <w:rPr>
          <w:rStyle w:val="FontStyle91"/>
        </w:rPr>
        <w:t xml:space="preserve">UNIVERSAL SETTLEMENTS INTERNATIONAL INC. </w:t>
      </w:r>
    </w:p>
    <w:p w:rsidR="00EF4B60" w:rsidRPr="001735F9" w:rsidRDefault="00EF4B60" w:rsidP="00F51C52">
      <w:pPr>
        <w:pStyle w:val="Style14"/>
        <w:widowControl/>
        <w:spacing w:line="274" w:lineRule="exact"/>
        <w:rPr>
          <w:rStyle w:val="FontStyle91"/>
        </w:rPr>
      </w:pPr>
      <w:r>
        <w:rPr>
          <w:rStyle w:val="FontStyle91"/>
        </w:rPr>
        <w:t xml:space="preserve">Previsión financiera </w:t>
      </w:r>
    </w:p>
    <w:p w:rsidR="00EF4B60" w:rsidRPr="001735F9" w:rsidRDefault="00EF4B60" w:rsidP="00F51C52">
      <w:pPr>
        <w:pStyle w:val="Style14"/>
        <w:widowControl/>
        <w:spacing w:line="274" w:lineRule="exact"/>
        <w:rPr>
          <w:rStyle w:val="FontStyle91"/>
        </w:rPr>
      </w:pPr>
      <w:r>
        <w:rPr>
          <w:rStyle w:val="FontStyle91"/>
        </w:rPr>
        <w:t>Del 1 de octubre de 2010 al 30 de septiembre de 2012</w:t>
      </w:r>
    </w:p>
    <w:p w:rsidR="00EF4B60" w:rsidRPr="001735F9" w:rsidRDefault="00EF4B60" w:rsidP="00F51C52">
      <w:pPr>
        <w:widowControl/>
        <w:spacing w:after="221" w:line="1" w:lineRule="exact"/>
        <w:rPr>
          <w:sz w:val="2"/>
          <w:szCs w:val="2"/>
        </w:rPr>
      </w:pPr>
    </w:p>
    <w:tbl>
      <w:tblPr>
        <w:tblW w:w="0" w:type="auto"/>
        <w:tblInd w:w="40" w:type="dxa"/>
        <w:tblLayout w:type="fixed"/>
        <w:tblCellMar>
          <w:left w:w="40" w:type="dxa"/>
          <w:right w:w="40" w:type="dxa"/>
        </w:tblCellMar>
        <w:tblLook w:val="0000"/>
      </w:tblPr>
      <w:tblGrid>
        <w:gridCol w:w="5670"/>
        <w:gridCol w:w="1418"/>
        <w:gridCol w:w="1508"/>
      </w:tblGrid>
      <w:tr w:rsidR="00EF4B60" w:rsidRPr="001735F9" w:rsidTr="00915E8A">
        <w:tblPrEx>
          <w:tblCellMar>
            <w:top w:w="0" w:type="dxa"/>
            <w:bottom w:w="0" w:type="dxa"/>
          </w:tblCellMar>
        </w:tblPrEx>
        <w:tc>
          <w:tcPr>
            <w:tcW w:w="5670" w:type="dxa"/>
            <w:tcBorders>
              <w:top w:val="nil"/>
              <w:left w:val="nil"/>
              <w:bottom w:val="nil"/>
              <w:right w:val="nil"/>
            </w:tcBorders>
          </w:tcPr>
          <w:p w:rsidR="00EF4B60" w:rsidRPr="001735F9" w:rsidRDefault="00EF4B60" w:rsidP="00F51C52">
            <w:pPr>
              <w:pStyle w:val="Style32"/>
              <w:widowControl/>
              <w:rPr>
                <w:rStyle w:val="FontStyle98"/>
                <w:sz w:val="16"/>
                <w:szCs w:val="16"/>
              </w:rPr>
            </w:pPr>
            <w:r>
              <w:rPr>
                <w:rStyle w:val="FontStyle98"/>
                <w:sz w:val="16"/>
              </w:rPr>
              <w:t xml:space="preserve">($ </w:t>
            </w:r>
            <w:r w:rsidR="001247FD">
              <w:rPr>
                <w:rStyle w:val="FontStyle98"/>
                <w:sz w:val="16"/>
              </w:rPr>
              <w:t>c</w:t>
            </w:r>
            <w:r>
              <w:rPr>
                <w:rStyle w:val="FontStyle98"/>
                <w:sz w:val="16"/>
              </w:rPr>
              <w:t>anadienses)</w:t>
            </w:r>
          </w:p>
        </w:tc>
        <w:tc>
          <w:tcPr>
            <w:tcW w:w="1418" w:type="dxa"/>
            <w:vMerge w:val="restart"/>
            <w:tcBorders>
              <w:top w:val="nil"/>
              <w:left w:val="nil"/>
              <w:bottom w:val="single" w:sz="6" w:space="0" w:color="auto"/>
              <w:right w:val="nil"/>
            </w:tcBorders>
          </w:tcPr>
          <w:p w:rsidR="00EF4B60" w:rsidRPr="001247FD" w:rsidRDefault="00EF4B60" w:rsidP="00F51C52">
            <w:pPr>
              <w:pStyle w:val="Style61"/>
              <w:widowControl/>
              <w:jc w:val="center"/>
              <w:rPr>
                <w:rStyle w:val="FontStyle99"/>
                <w:sz w:val="16"/>
                <w:szCs w:val="16"/>
                <w:u w:val="single"/>
              </w:rPr>
            </w:pPr>
            <w:r w:rsidRPr="001247FD">
              <w:rPr>
                <w:rStyle w:val="FontStyle99"/>
                <w:sz w:val="16"/>
                <w:szCs w:val="16"/>
                <w:u w:val="single"/>
              </w:rPr>
              <w:t>Previsión con vencimientos</w:t>
            </w:r>
          </w:p>
        </w:tc>
        <w:tc>
          <w:tcPr>
            <w:tcW w:w="1508" w:type="dxa"/>
            <w:vMerge w:val="restart"/>
            <w:tcBorders>
              <w:top w:val="nil"/>
              <w:left w:val="nil"/>
              <w:bottom w:val="single" w:sz="6" w:space="0" w:color="auto"/>
              <w:right w:val="nil"/>
            </w:tcBorders>
          </w:tcPr>
          <w:p w:rsidR="00EF4B60" w:rsidRPr="001247FD" w:rsidRDefault="00EF4B60" w:rsidP="00F51C52">
            <w:pPr>
              <w:pStyle w:val="Style61"/>
              <w:widowControl/>
              <w:jc w:val="center"/>
              <w:rPr>
                <w:rStyle w:val="FontStyle99"/>
                <w:sz w:val="16"/>
                <w:szCs w:val="16"/>
                <w:u w:val="single"/>
              </w:rPr>
            </w:pPr>
            <w:r w:rsidRPr="001247FD">
              <w:rPr>
                <w:rStyle w:val="FontStyle99"/>
                <w:sz w:val="16"/>
                <w:szCs w:val="16"/>
                <w:u w:val="single"/>
              </w:rPr>
              <w:t>Previsión sin vencimientos</w:t>
            </w:r>
          </w:p>
          <w:p w:rsidR="00EF4B60" w:rsidRPr="001247FD" w:rsidRDefault="00EF4B60" w:rsidP="00F51C52">
            <w:pPr>
              <w:pStyle w:val="Style61"/>
              <w:widowControl/>
              <w:jc w:val="center"/>
              <w:rPr>
                <w:rStyle w:val="FontStyle99"/>
                <w:sz w:val="16"/>
                <w:szCs w:val="16"/>
                <w:u w:val="single"/>
              </w:rPr>
            </w:pPr>
          </w:p>
        </w:tc>
      </w:tr>
      <w:tr w:rsidR="00EF4B60" w:rsidRPr="001735F9" w:rsidTr="00915E8A">
        <w:tblPrEx>
          <w:tblCellMar>
            <w:top w:w="0" w:type="dxa"/>
            <w:bottom w:w="0" w:type="dxa"/>
          </w:tblCellMar>
        </w:tblPrEx>
        <w:tc>
          <w:tcPr>
            <w:tcW w:w="5670" w:type="dxa"/>
            <w:tcBorders>
              <w:top w:val="nil"/>
              <w:left w:val="nil"/>
              <w:bottom w:val="nil"/>
              <w:right w:val="nil"/>
            </w:tcBorders>
          </w:tcPr>
          <w:p w:rsidR="00EF4B60" w:rsidRPr="001735F9" w:rsidRDefault="00EF4B60" w:rsidP="00F51C52">
            <w:pPr>
              <w:pStyle w:val="Style40"/>
              <w:widowControl/>
              <w:rPr>
                <w:sz w:val="16"/>
                <w:szCs w:val="16"/>
              </w:rPr>
            </w:pPr>
          </w:p>
        </w:tc>
        <w:tc>
          <w:tcPr>
            <w:tcW w:w="1418" w:type="dxa"/>
            <w:vMerge/>
            <w:tcBorders>
              <w:left w:val="nil"/>
              <w:bottom w:val="single" w:sz="6" w:space="0" w:color="auto"/>
              <w:right w:val="nil"/>
            </w:tcBorders>
          </w:tcPr>
          <w:p w:rsidR="00EF4B60" w:rsidRPr="001247FD" w:rsidRDefault="00EF4B60" w:rsidP="00F51C52">
            <w:pPr>
              <w:pStyle w:val="Style61"/>
              <w:widowControl/>
              <w:jc w:val="right"/>
              <w:rPr>
                <w:rStyle w:val="FontStyle99"/>
                <w:sz w:val="16"/>
                <w:szCs w:val="16"/>
                <w:u w:val="single"/>
              </w:rPr>
            </w:pPr>
          </w:p>
        </w:tc>
        <w:tc>
          <w:tcPr>
            <w:tcW w:w="1508" w:type="dxa"/>
            <w:vMerge/>
            <w:tcBorders>
              <w:left w:val="nil"/>
              <w:bottom w:val="single" w:sz="6" w:space="0" w:color="auto"/>
              <w:right w:val="nil"/>
            </w:tcBorders>
          </w:tcPr>
          <w:p w:rsidR="00EF4B60" w:rsidRPr="001247FD" w:rsidRDefault="00EF4B60" w:rsidP="00F51C52">
            <w:pPr>
              <w:pStyle w:val="Style61"/>
              <w:widowControl/>
              <w:rPr>
                <w:rStyle w:val="FontStyle99"/>
                <w:sz w:val="16"/>
                <w:szCs w:val="16"/>
                <w:u w:val="single"/>
              </w:rPr>
            </w:pPr>
          </w:p>
        </w:tc>
      </w:tr>
      <w:tr w:rsidR="00EF4B60" w:rsidRPr="001735F9" w:rsidTr="00915E8A">
        <w:tblPrEx>
          <w:tblCellMar>
            <w:top w:w="0" w:type="dxa"/>
            <w:bottom w:w="0" w:type="dxa"/>
          </w:tblCellMar>
        </w:tblPrEx>
        <w:tc>
          <w:tcPr>
            <w:tcW w:w="5670" w:type="dxa"/>
            <w:tcBorders>
              <w:top w:val="nil"/>
              <w:left w:val="nil"/>
              <w:right w:val="nil"/>
            </w:tcBorders>
          </w:tcPr>
          <w:p w:rsidR="00EF4B60" w:rsidRPr="001735F9" w:rsidRDefault="00EF4B60" w:rsidP="00F51C52">
            <w:pPr>
              <w:pStyle w:val="Style61"/>
              <w:widowControl/>
              <w:rPr>
                <w:rStyle w:val="FontStyle99"/>
                <w:sz w:val="16"/>
                <w:szCs w:val="16"/>
              </w:rPr>
            </w:pPr>
            <w:r>
              <w:rPr>
                <w:rStyle w:val="FontStyle99"/>
                <w:sz w:val="16"/>
              </w:rPr>
              <w:t>Saldo de caja inicial, 1 de octubre de 2010</w:t>
            </w:r>
          </w:p>
        </w:tc>
        <w:tc>
          <w:tcPr>
            <w:tcW w:w="1418" w:type="dxa"/>
            <w:tcBorders>
              <w:top w:val="single" w:sz="6" w:space="0" w:color="auto"/>
              <w:left w:val="nil"/>
              <w:bottom w:val="single" w:sz="6" w:space="0" w:color="auto"/>
              <w:right w:val="nil"/>
            </w:tcBorders>
          </w:tcPr>
          <w:p w:rsidR="00EF4B60" w:rsidRPr="001247FD" w:rsidRDefault="00EF4B60" w:rsidP="00F51C52">
            <w:pPr>
              <w:pStyle w:val="Style61"/>
              <w:widowControl/>
              <w:jc w:val="right"/>
              <w:rPr>
                <w:rStyle w:val="FontStyle99"/>
                <w:sz w:val="16"/>
                <w:szCs w:val="16"/>
              </w:rPr>
            </w:pPr>
            <w:r w:rsidRPr="001247FD">
              <w:rPr>
                <w:rStyle w:val="FontStyle99"/>
                <w:sz w:val="16"/>
                <w:szCs w:val="16"/>
              </w:rPr>
              <w:t>10,550,535</w:t>
            </w:r>
          </w:p>
        </w:tc>
        <w:tc>
          <w:tcPr>
            <w:tcW w:w="1508" w:type="dxa"/>
            <w:tcBorders>
              <w:top w:val="single" w:sz="6" w:space="0" w:color="auto"/>
              <w:left w:val="nil"/>
              <w:bottom w:val="single" w:sz="6" w:space="0" w:color="auto"/>
              <w:right w:val="nil"/>
            </w:tcBorders>
          </w:tcPr>
          <w:p w:rsidR="00EF4B60" w:rsidRPr="001247FD" w:rsidRDefault="00EF4B60" w:rsidP="00F51C52">
            <w:pPr>
              <w:pStyle w:val="Style61"/>
              <w:widowControl/>
              <w:ind w:right="14"/>
              <w:jc w:val="right"/>
              <w:rPr>
                <w:rStyle w:val="FontStyle99"/>
                <w:sz w:val="16"/>
                <w:szCs w:val="16"/>
              </w:rPr>
            </w:pPr>
            <w:r w:rsidRPr="001247FD">
              <w:rPr>
                <w:rStyle w:val="FontStyle99"/>
                <w:sz w:val="16"/>
                <w:szCs w:val="16"/>
              </w:rPr>
              <w:t>10,550,535</w:t>
            </w:r>
          </w:p>
        </w:tc>
      </w:tr>
      <w:tr w:rsidR="00EF4B60" w:rsidRPr="001735F9" w:rsidTr="00915E8A">
        <w:tblPrEx>
          <w:tblCellMar>
            <w:top w:w="0" w:type="dxa"/>
            <w:bottom w:w="0" w:type="dxa"/>
          </w:tblCellMar>
        </w:tblPrEx>
        <w:tc>
          <w:tcPr>
            <w:tcW w:w="5670" w:type="dxa"/>
            <w:tcBorders>
              <w:top w:val="nil"/>
              <w:left w:val="nil"/>
              <w:right w:val="nil"/>
            </w:tcBorders>
          </w:tcPr>
          <w:p w:rsidR="00EF4B60" w:rsidRPr="001735F9" w:rsidRDefault="00EF4B60" w:rsidP="00F51C52">
            <w:pPr>
              <w:pStyle w:val="Style61"/>
              <w:widowControl/>
              <w:rPr>
                <w:rStyle w:val="FontStyle99"/>
                <w:sz w:val="16"/>
                <w:szCs w:val="16"/>
                <w:u w:val="single"/>
              </w:rPr>
            </w:pPr>
          </w:p>
          <w:p w:rsidR="00EF4B60" w:rsidRPr="001735F9" w:rsidRDefault="00EF4B60" w:rsidP="00F51C52">
            <w:pPr>
              <w:pStyle w:val="Style61"/>
              <w:widowControl/>
              <w:rPr>
                <w:rStyle w:val="FontStyle99"/>
                <w:sz w:val="16"/>
                <w:szCs w:val="16"/>
              </w:rPr>
            </w:pPr>
            <w:r>
              <w:rPr>
                <w:rStyle w:val="FontStyle99"/>
                <w:sz w:val="16"/>
                <w:u w:val="single"/>
              </w:rPr>
              <w:t>Entradas de efectivo</w:t>
            </w:r>
          </w:p>
        </w:tc>
        <w:tc>
          <w:tcPr>
            <w:tcW w:w="1418" w:type="dxa"/>
            <w:tcBorders>
              <w:top w:val="single" w:sz="6" w:space="0" w:color="auto"/>
              <w:left w:val="nil"/>
              <w:bottom w:val="nil"/>
              <w:right w:val="nil"/>
            </w:tcBorders>
          </w:tcPr>
          <w:p w:rsidR="00EF4B60" w:rsidRPr="001247FD" w:rsidRDefault="00EF4B60" w:rsidP="00F51C52">
            <w:pPr>
              <w:pStyle w:val="Style40"/>
              <w:widowControl/>
              <w:rPr>
                <w:sz w:val="16"/>
                <w:szCs w:val="16"/>
              </w:rPr>
            </w:pPr>
          </w:p>
        </w:tc>
        <w:tc>
          <w:tcPr>
            <w:tcW w:w="1508" w:type="dxa"/>
            <w:tcBorders>
              <w:top w:val="single" w:sz="6" w:space="0" w:color="auto"/>
              <w:left w:val="nil"/>
              <w:bottom w:val="nil"/>
              <w:right w:val="nil"/>
            </w:tcBorders>
          </w:tcPr>
          <w:p w:rsidR="00EF4B60" w:rsidRPr="001247FD" w:rsidRDefault="00EF4B60" w:rsidP="00F51C52">
            <w:pPr>
              <w:pStyle w:val="Style40"/>
              <w:widowControl/>
              <w:rPr>
                <w:sz w:val="16"/>
                <w:szCs w:val="16"/>
              </w:rPr>
            </w:pPr>
          </w:p>
        </w:tc>
      </w:tr>
      <w:tr w:rsidR="00EF4B60" w:rsidRPr="001735F9" w:rsidTr="00915E8A">
        <w:tblPrEx>
          <w:tblCellMar>
            <w:top w:w="0" w:type="dxa"/>
            <w:bottom w:w="0" w:type="dxa"/>
          </w:tblCellMar>
        </w:tblPrEx>
        <w:tc>
          <w:tcPr>
            <w:tcW w:w="5670" w:type="dxa"/>
            <w:tcBorders>
              <w:left w:val="nil"/>
              <w:bottom w:val="nil"/>
              <w:right w:val="nil"/>
            </w:tcBorders>
          </w:tcPr>
          <w:p w:rsidR="00EF4B60" w:rsidRPr="001735F9" w:rsidRDefault="00EF4B60" w:rsidP="00F51C52">
            <w:pPr>
              <w:pStyle w:val="Style32"/>
              <w:widowControl/>
              <w:rPr>
                <w:rStyle w:val="FontStyle98"/>
                <w:sz w:val="16"/>
                <w:szCs w:val="16"/>
              </w:rPr>
            </w:pPr>
            <w:r>
              <w:rPr>
                <w:rStyle w:val="FontStyle98"/>
                <w:sz w:val="16"/>
              </w:rPr>
              <w:t>Vencimientos de pólizas</w:t>
            </w:r>
          </w:p>
        </w:tc>
        <w:tc>
          <w:tcPr>
            <w:tcW w:w="1418" w:type="dxa"/>
            <w:tcBorders>
              <w:top w:val="nil"/>
              <w:left w:val="nil"/>
              <w:bottom w:val="nil"/>
              <w:right w:val="nil"/>
            </w:tcBorders>
          </w:tcPr>
          <w:p w:rsidR="00EF4B60" w:rsidRPr="001247FD" w:rsidRDefault="00EF4B60" w:rsidP="00F51C52">
            <w:pPr>
              <w:pStyle w:val="Style32"/>
              <w:widowControl/>
              <w:jc w:val="right"/>
              <w:rPr>
                <w:rStyle w:val="FontStyle98"/>
                <w:sz w:val="16"/>
                <w:szCs w:val="16"/>
              </w:rPr>
            </w:pPr>
            <w:r w:rsidRPr="001247FD">
              <w:rPr>
                <w:rStyle w:val="FontStyle98"/>
                <w:sz w:val="16"/>
                <w:szCs w:val="16"/>
              </w:rPr>
              <w:t>104,101,788</w:t>
            </w:r>
          </w:p>
        </w:tc>
        <w:tc>
          <w:tcPr>
            <w:tcW w:w="1508" w:type="dxa"/>
            <w:tcBorders>
              <w:top w:val="nil"/>
              <w:left w:val="nil"/>
              <w:bottom w:val="nil"/>
              <w:right w:val="nil"/>
            </w:tcBorders>
          </w:tcPr>
          <w:p w:rsidR="00EF4B60" w:rsidRPr="001247FD" w:rsidRDefault="00EF4B60" w:rsidP="00F51C52">
            <w:pPr>
              <w:pStyle w:val="Style74"/>
              <w:widowControl/>
              <w:ind w:left="1018"/>
              <w:rPr>
                <w:rStyle w:val="FontStyle100"/>
                <w:sz w:val="16"/>
                <w:szCs w:val="16"/>
              </w:rPr>
            </w:pPr>
            <w:r w:rsidRPr="001247FD">
              <w:rPr>
                <w:rStyle w:val="FontStyle100"/>
                <w:sz w:val="16"/>
                <w:szCs w:val="16"/>
              </w:rPr>
              <w:t>-</w:t>
            </w:r>
          </w:p>
        </w:tc>
      </w:tr>
      <w:tr w:rsidR="00EF4B60" w:rsidRPr="001735F9" w:rsidTr="00915E8A">
        <w:tblPrEx>
          <w:tblCellMar>
            <w:top w:w="0" w:type="dxa"/>
            <w:bottom w:w="0" w:type="dxa"/>
          </w:tblCellMar>
        </w:tblPrEx>
        <w:tc>
          <w:tcPr>
            <w:tcW w:w="5670" w:type="dxa"/>
            <w:tcBorders>
              <w:top w:val="nil"/>
              <w:left w:val="nil"/>
              <w:bottom w:val="nil"/>
              <w:right w:val="nil"/>
            </w:tcBorders>
          </w:tcPr>
          <w:p w:rsidR="00EF4B60" w:rsidRPr="001735F9" w:rsidRDefault="00EF4B60" w:rsidP="00F51C52">
            <w:pPr>
              <w:pStyle w:val="Style32"/>
              <w:widowControl/>
              <w:rPr>
                <w:rStyle w:val="FontStyle98"/>
                <w:sz w:val="16"/>
                <w:szCs w:val="16"/>
              </w:rPr>
            </w:pPr>
            <w:r>
              <w:rPr>
                <w:rStyle w:val="FontStyle98"/>
                <w:sz w:val="16"/>
              </w:rPr>
              <w:t>Otros</w:t>
            </w:r>
          </w:p>
        </w:tc>
        <w:tc>
          <w:tcPr>
            <w:tcW w:w="1418" w:type="dxa"/>
            <w:tcBorders>
              <w:top w:val="nil"/>
              <w:left w:val="nil"/>
              <w:bottom w:val="single" w:sz="6" w:space="0" w:color="auto"/>
              <w:right w:val="nil"/>
            </w:tcBorders>
          </w:tcPr>
          <w:p w:rsidR="00EF4B60" w:rsidRPr="001247FD" w:rsidRDefault="00EF4B60" w:rsidP="00F51C52">
            <w:pPr>
              <w:pStyle w:val="Style32"/>
              <w:widowControl/>
              <w:jc w:val="right"/>
              <w:rPr>
                <w:rStyle w:val="FontStyle98"/>
                <w:sz w:val="16"/>
                <w:szCs w:val="16"/>
              </w:rPr>
            </w:pPr>
            <w:r w:rsidRPr="001247FD">
              <w:rPr>
                <w:rStyle w:val="FontStyle98"/>
                <w:sz w:val="16"/>
                <w:szCs w:val="16"/>
              </w:rPr>
              <w:t>833,366</w:t>
            </w:r>
          </w:p>
        </w:tc>
        <w:tc>
          <w:tcPr>
            <w:tcW w:w="1508" w:type="dxa"/>
            <w:tcBorders>
              <w:top w:val="nil"/>
              <w:left w:val="nil"/>
              <w:bottom w:val="single" w:sz="6" w:space="0" w:color="auto"/>
              <w:right w:val="nil"/>
            </w:tcBorders>
          </w:tcPr>
          <w:p w:rsidR="00EF4B60" w:rsidRPr="001247FD" w:rsidRDefault="00EF4B60" w:rsidP="00F51C52">
            <w:pPr>
              <w:pStyle w:val="Style32"/>
              <w:widowControl/>
              <w:ind w:right="10"/>
              <w:jc w:val="right"/>
              <w:rPr>
                <w:rStyle w:val="FontStyle98"/>
                <w:sz w:val="16"/>
                <w:szCs w:val="16"/>
              </w:rPr>
            </w:pPr>
            <w:r w:rsidRPr="001247FD">
              <w:rPr>
                <w:rStyle w:val="FontStyle98"/>
                <w:sz w:val="16"/>
                <w:szCs w:val="16"/>
              </w:rPr>
              <w:t>833,366</w:t>
            </w:r>
          </w:p>
        </w:tc>
      </w:tr>
      <w:tr w:rsidR="00EF4B60" w:rsidRPr="001735F9" w:rsidTr="00915E8A">
        <w:tblPrEx>
          <w:tblCellMar>
            <w:top w:w="0" w:type="dxa"/>
            <w:bottom w:w="0" w:type="dxa"/>
          </w:tblCellMar>
        </w:tblPrEx>
        <w:tc>
          <w:tcPr>
            <w:tcW w:w="5670" w:type="dxa"/>
            <w:tcBorders>
              <w:top w:val="nil"/>
              <w:left w:val="nil"/>
              <w:right w:val="nil"/>
            </w:tcBorders>
          </w:tcPr>
          <w:p w:rsidR="00EF4B60" w:rsidRPr="001735F9" w:rsidRDefault="00EF4B60" w:rsidP="00F51C52">
            <w:pPr>
              <w:pStyle w:val="Style61"/>
              <w:widowControl/>
              <w:rPr>
                <w:rStyle w:val="FontStyle99"/>
                <w:sz w:val="16"/>
                <w:szCs w:val="16"/>
              </w:rPr>
            </w:pPr>
            <w:r>
              <w:rPr>
                <w:rStyle w:val="FontStyle99"/>
                <w:sz w:val="16"/>
              </w:rPr>
              <w:t>Total de entradas de efectivo</w:t>
            </w:r>
          </w:p>
        </w:tc>
        <w:tc>
          <w:tcPr>
            <w:tcW w:w="1418" w:type="dxa"/>
            <w:tcBorders>
              <w:top w:val="single" w:sz="6" w:space="0" w:color="auto"/>
              <w:left w:val="nil"/>
              <w:bottom w:val="nil"/>
              <w:right w:val="nil"/>
            </w:tcBorders>
          </w:tcPr>
          <w:p w:rsidR="00EF4B60" w:rsidRPr="001247FD" w:rsidRDefault="00EF4B60" w:rsidP="00F51C52">
            <w:pPr>
              <w:pStyle w:val="Style61"/>
              <w:widowControl/>
              <w:jc w:val="right"/>
              <w:rPr>
                <w:rStyle w:val="FontStyle99"/>
                <w:sz w:val="16"/>
                <w:szCs w:val="16"/>
              </w:rPr>
            </w:pPr>
            <w:r w:rsidRPr="001247FD">
              <w:rPr>
                <w:rStyle w:val="FontStyle99"/>
                <w:sz w:val="16"/>
                <w:szCs w:val="16"/>
              </w:rPr>
              <w:t>104,935,154</w:t>
            </w:r>
          </w:p>
        </w:tc>
        <w:tc>
          <w:tcPr>
            <w:tcW w:w="1508" w:type="dxa"/>
            <w:tcBorders>
              <w:top w:val="single" w:sz="6" w:space="0" w:color="auto"/>
              <w:left w:val="nil"/>
              <w:bottom w:val="nil"/>
              <w:right w:val="nil"/>
            </w:tcBorders>
          </w:tcPr>
          <w:p w:rsidR="00EF4B60" w:rsidRPr="001247FD" w:rsidRDefault="00EF4B60" w:rsidP="00F51C52">
            <w:pPr>
              <w:pStyle w:val="Style61"/>
              <w:widowControl/>
              <w:ind w:right="10"/>
              <w:jc w:val="right"/>
              <w:rPr>
                <w:rStyle w:val="FontStyle99"/>
                <w:sz w:val="16"/>
                <w:szCs w:val="16"/>
              </w:rPr>
            </w:pPr>
            <w:r w:rsidRPr="001247FD">
              <w:rPr>
                <w:rStyle w:val="FontStyle99"/>
                <w:sz w:val="16"/>
                <w:szCs w:val="16"/>
              </w:rPr>
              <w:t>833,366</w:t>
            </w:r>
          </w:p>
        </w:tc>
      </w:tr>
      <w:tr w:rsidR="00EF4B60" w:rsidRPr="001735F9" w:rsidTr="00915E8A">
        <w:tblPrEx>
          <w:tblCellMar>
            <w:top w:w="0" w:type="dxa"/>
            <w:bottom w:w="0" w:type="dxa"/>
          </w:tblCellMar>
        </w:tblPrEx>
        <w:tc>
          <w:tcPr>
            <w:tcW w:w="5670" w:type="dxa"/>
            <w:tcBorders>
              <w:top w:val="nil"/>
              <w:left w:val="nil"/>
              <w:right w:val="nil"/>
            </w:tcBorders>
          </w:tcPr>
          <w:p w:rsidR="00EF4B60" w:rsidRPr="001735F9" w:rsidRDefault="00EF4B60" w:rsidP="00F51C52">
            <w:pPr>
              <w:pStyle w:val="Style61"/>
              <w:widowControl/>
              <w:rPr>
                <w:rStyle w:val="FontStyle99"/>
                <w:sz w:val="16"/>
                <w:szCs w:val="16"/>
              </w:rPr>
            </w:pPr>
          </w:p>
          <w:p w:rsidR="00EF4B60" w:rsidRPr="001735F9" w:rsidRDefault="00EF4B60" w:rsidP="00F51C52">
            <w:pPr>
              <w:pStyle w:val="Style61"/>
              <w:widowControl/>
              <w:rPr>
                <w:rStyle w:val="FontStyle99"/>
                <w:sz w:val="16"/>
                <w:szCs w:val="16"/>
              </w:rPr>
            </w:pPr>
            <w:r>
              <w:rPr>
                <w:rStyle w:val="FontStyle99"/>
                <w:sz w:val="16"/>
                <w:u w:val="single"/>
              </w:rPr>
              <w:t>Desembolsos</w:t>
            </w:r>
          </w:p>
        </w:tc>
        <w:tc>
          <w:tcPr>
            <w:tcW w:w="1418" w:type="dxa"/>
            <w:tcBorders>
              <w:top w:val="nil"/>
              <w:left w:val="nil"/>
              <w:bottom w:val="nil"/>
              <w:right w:val="nil"/>
            </w:tcBorders>
          </w:tcPr>
          <w:p w:rsidR="00EF4B60" w:rsidRPr="001247FD" w:rsidRDefault="00EF4B60" w:rsidP="00F51C52">
            <w:pPr>
              <w:pStyle w:val="Style40"/>
              <w:widowControl/>
              <w:rPr>
                <w:sz w:val="16"/>
                <w:szCs w:val="16"/>
              </w:rPr>
            </w:pPr>
          </w:p>
        </w:tc>
        <w:tc>
          <w:tcPr>
            <w:tcW w:w="1508" w:type="dxa"/>
            <w:tcBorders>
              <w:top w:val="nil"/>
              <w:left w:val="nil"/>
              <w:bottom w:val="nil"/>
              <w:right w:val="nil"/>
            </w:tcBorders>
          </w:tcPr>
          <w:p w:rsidR="00EF4B60" w:rsidRPr="001247FD" w:rsidRDefault="00EF4B60" w:rsidP="00F51C52">
            <w:pPr>
              <w:pStyle w:val="Style40"/>
              <w:widowControl/>
              <w:rPr>
                <w:sz w:val="16"/>
                <w:szCs w:val="16"/>
              </w:rPr>
            </w:pPr>
          </w:p>
        </w:tc>
      </w:tr>
      <w:tr w:rsidR="00EF4B60" w:rsidRPr="001735F9" w:rsidTr="00915E8A">
        <w:tblPrEx>
          <w:tblCellMar>
            <w:top w:w="0" w:type="dxa"/>
            <w:bottom w:w="0" w:type="dxa"/>
          </w:tblCellMar>
        </w:tblPrEx>
        <w:tc>
          <w:tcPr>
            <w:tcW w:w="5670" w:type="dxa"/>
            <w:tcBorders>
              <w:left w:val="nil"/>
              <w:right w:val="nil"/>
            </w:tcBorders>
          </w:tcPr>
          <w:p w:rsidR="00EF4B60" w:rsidRPr="001735F9" w:rsidRDefault="00EF4B60" w:rsidP="00F51C52">
            <w:pPr>
              <w:pStyle w:val="Style32"/>
              <w:widowControl/>
              <w:rPr>
                <w:rStyle w:val="FontStyle98"/>
                <w:sz w:val="16"/>
                <w:szCs w:val="16"/>
              </w:rPr>
            </w:pPr>
            <w:r>
              <w:rPr>
                <w:rStyle w:val="FontStyle98"/>
                <w:u w:val="single"/>
              </w:rPr>
              <w:t>Gastos del portafolio de pólizas</w:t>
            </w:r>
            <w:r>
              <w:rPr>
                <w:rStyle w:val="FontStyle98"/>
              </w:rPr>
              <w:t>:</w:t>
            </w:r>
          </w:p>
        </w:tc>
        <w:tc>
          <w:tcPr>
            <w:tcW w:w="1418" w:type="dxa"/>
            <w:tcBorders>
              <w:top w:val="nil"/>
              <w:left w:val="nil"/>
              <w:bottom w:val="nil"/>
              <w:right w:val="nil"/>
            </w:tcBorders>
          </w:tcPr>
          <w:p w:rsidR="00EF4B60" w:rsidRPr="001247FD" w:rsidRDefault="00EF4B60" w:rsidP="00F51C52">
            <w:pPr>
              <w:pStyle w:val="Style32"/>
              <w:widowControl/>
              <w:rPr>
                <w:rStyle w:val="FontStyle98"/>
                <w:sz w:val="16"/>
                <w:szCs w:val="16"/>
              </w:rPr>
            </w:pPr>
          </w:p>
        </w:tc>
        <w:tc>
          <w:tcPr>
            <w:tcW w:w="1508" w:type="dxa"/>
            <w:tcBorders>
              <w:top w:val="nil"/>
              <w:left w:val="nil"/>
              <w:bottom w:val="nil"/>
              <w:right w:val="nil"/>
            </w:tcBorders>
          </w:tcPr>
          <w:p w:rsidR="00EF4B60" w:rsidRPr="001247FD" w:rsidRDefault="00EF4B60" w:rsidP="00F51C52">
            <w:pPr>
              <w:pStyle w:val="Style32"/>
              <w:widowControl/>
              <w:rPr>
                <w:rStyle w:val="FontStyle98"/>
                <w:sz w:val="16"/>
                <w:szCs w:val="16"/>
              </w:rPr>
            </w:pPr>
          </w:p>
        </w:tc>
      </w:tr>
      <w:tr w:rsidR="00EF4B60" w:rsidRPr="001735F9" w:rsidTr="00915E8A">
        <w:tblPrEx>
          <w:tblCellMar>
            <w:top w:w="0" w:type="dxa"/>
            <w:bottom w:w="0" w:type="dxa"/>
          </w:tblCellMar>
        </w:tblPrEx>
        <w:tc>
          <w:tcPr>
            <w:tcW w:w="5670" w:type="dxa"/>
            <w:tcBorders>
              <w:left w:val="nil"/>
              <w:bottom w:val="nil"/>
              <w:right w:val="nil"/>
            </w:tcBorders>
          </w:tcPr>
          <w:p w:rsidR="00EF4B60" w:rsidRPr="001735F9" w:rsidRDefault="00EF4B60" w:rsidP="00F51C52">
            <w:pPr>
              <w:pStyle w:val="Style32"/>
              <w:widowControl/>
              <w:rPr>
                <w:rStyle w:val="FontStyle98"/>
                <w:sz w:val="16"/>
                <w:szCs w:val="16"/>
              </w:rPr>
            </w:pPr>
            <w:r>
              <w:rPr>
                <w:rStyle w:val="FontStyle98"/>
                <w:sz w:val="16"/>
              </w:rPr>
              <w:t>Pagos de primas</w:t>
            </w:r>
          </w:p>
        </w:tc>
        <w:tc>
          <w:tcPr>
            <w:tcW w:w="1418" w:type="dxa"/>
            <w:tcBorders>
              <w:top w:val="nil"/>
              <w:left w:val="nil"/>
              <w:bottom w:val="nil"/>
              <w:right w:val="nil"/>
            </w:tcBorders>
          </w:tcPr>
          <w:p w:rsidR="00EF4B60" w:rsidRPr="001247FD" w:rsidRDefault="00EF4B60" w:rsidP="00F51C52">
            <w:pPr>
              <w:pStyle w:val="Style32"/>
              <w:widowControl/>
              <w:jc w:val="right"/>
              <w:rPr>
                <w:rStyle w:val="FontStyle98"/>
                <w:sz w:val="16"/>
                <w:szCs w:val="16"/>
              </w:rPr>
            </w:pPr>
            <w:r w:rsidRPr="001247FD">
              <w:rPr>
                <w:rStyle w:val="FontStyle98"/>
                <w:sz w:val="16"/>
                <w:szCs w:val="16"/>
              </w:rPr>
              <w:t>11,793,007</w:t>
            </w:r>
          </w:p>
        </w:tc>
        <w:tc>
          <w:tcPr>
            <w:tcW w:w="1508" w:type="dxa"/>
            <w:tcBorders>
              <w:top w:val="nil"/>
              <w:left w:val="nil"/>
              <w:bottom w:val="nil"/>
              <w:right w:val="nil"/>
            </w:tcBorders>
          </w:tcPr>
          <w:p w:rsidR="00EF4B60" w:rsidRPr="001247FD" w:rsidRDefault="00EF4B60" w:rsidP="00F51C52">
            <w:pPr>
              <w:pStyle w:val="Style32"/>
              <w:widowControl/>
              <w:ind w:right="10"/>
              <w:jc w:val="right"/>
              <w:rPr>
                <w:rStyle w:val="FontStyle98"/>
                <w:sz w:val="16"/>
                <w:szCs w:val="16"/>
              </w:rPr>
            </w:pPr>
            <w:r w:rsidRPr="001247FD">
              <w:rPr>
                <w:rStyle w:val="FontStyle98"/>
                <w:sz w:val="16"/>
                <w:szCs w:val="16"/>
              </w:rPr>
              <w:t>13,638,269</w:t>
            </w:r>
          </w:p>
        </w:tc>
      </w:tr>
      <w:tr w:rsidR="00EF4B60" w:rsidRPr="001735F9" w:rsidTr="00915E8A">
        <w:tblPrEx>
          <w:tblCellMar>
            <w:top w:w="0" w:type="dxa"/>
            <w:bottom w:w="0" w:type="dxa"/>
          </w:tblCellMar>
        </w:tblPrEx>
        <w:tc>
          <w:tcPr>
            <w:tcW w:w="5670" w:type="dxa"/>
            <w:tcBorders>
              <w:top w:val="nil"/>
              <w:left w:val="nil"/>
              <w:bottom w:val="nil"/>
              <w:right w:val="nil"/>
            </w:tcBorders>
          </w:tcPr>
          <w:p w:rsidR="00EF4B60" w:rsidRPr="001735F9" w:rsidRDefault="00EF4B60" w:rsidP="00F51C52">
            <w:pPr>
              <w:pStyle w:val="Style32"/>
              <w:widowControl/>
              <w:rPr>
                <w:rStyle w:val="FontStyle98"/>
                <w:sz w:val="16"/>
                <w:szCs w:val="16"/>
              </w:rPr>
            </w:pPr>
            <w:r>
              <w:rPr>
                <w:rStyle w:val="FontStyle98"/>
                <w:sz w:val="16"/>
              </w:rPr>
              <w:t>Honorarios administrativos</w:t>
            </w:r>
          </w:p>
        </w:tc>
        <w:tc>
          <w:tcPr>
            <w:tcW w:w="1418" w:type="dxa"/>
            <w:tcBorders>
              <w:top w:val="nil"/>
              <w:left w:val="nil"/>
              <w:bottom w:val="nil"/>
              <w:right w:val="nil"/>
            </w:tcBorders>
          </w:tcPr>
          <w:p w:rsidR="00EF4B60" w:rsidRPr="001247FD" w:rsidRDefault="00EF4B60" w:rsidP="00F51C52">
            <w:pPr>
              <w:pStyle w:val="Style32"/>
              <w:widowControl/>
              <w:jc w:val="right"/>
              <w:rPr>
                <w:rStyle w:val="FontStyle98"/>
                <w:sz w:val="16"/>
                <w:szCs w:val="16"/>
              </w:rPr>
            </w:pPr>
            <w:r w:rsidRPr="001247FD">
              <w:rPr>
                <w:rStyle w:val="FontStyle98"/>
                <w:sz w:val="16"/>
                <w:szCs w:val="16"/>
              </w:rPr>
              <w:t>2,400,000</w:t>
            </w:r>
          </w:p>
        </w:tc>
        <w:tc>
          <w:tcPr>
            <w:tcW w:w="1508" w:type="dxa"/>
            <w:tcBorders>
              <w:top w:val="nil"/>
              <w:left w:val="nil"/>
              <w:bottom w:val="nil"/>
              <w:right w:val="nil"/>
            </w:tcBorders>
          </w:tcPr>
          <w:p w:rsidR="00EF4B60" w:rsidRPr="001247FD" w:rsidRDefault="00EF4B60" w:rsidP="00F51C52">
            <w:pPr>
              <w:pStyle w:val="Style32"/>
              <w:widowControl/>
              <w:ind w:right="10"/>
              <w:jc w:val="right"/>
              <w:rPr>
                <w:rStyle w:val="FontStyle98"/>
                <w:sz w:val="16"/>
                <w:szCs w:val="16"/>
              </w:rPr>
            </w:pPr>
            <w:r w:rsidRPr="001247FD">
              <w:rPr>
                <w:rStyle w:val="FontStyle98"/>
                <w:sz w:val="16"/>
                <w:szCs w:val="16"/>
              </w:rPr>
              <w:t>2,400,000</w:t>
            </w:r>
          </w:p>
        </w:tc>
      </w:tr>
      <w:tr w:rsidR="00EF4B60" w:rsidRPr="001735F9" w:rsidTr="00915E8A">
        <w:tblPrEx>
          <w:tblCellMar>
            <w:top w:w="0" w:type="dxa"/>
            <w:bottom w:w="0" w:type="dxa"/>
          </w:tblCellMar>
        </w:tblPrEx>
        <w:tc>
          <w:tcPr>
            <w:tcW w:w="5670" w:type="dxa"/>
            <w:tcBorders>
              <w:top w:val="nil"/>
              <w:left w:val="nil"/>
              <w:bottom w:val="nil"/>
              <w:right w:val="nil"/>
            </w:tcBorders>
          </w:tcPr>
          <w:p w:rsidR="00EF4B60" w:rsidRPr="001735F9" w:rsidRDefault="00EF4B60" w:rsidP="00F51C52">
            <w:pPr>
              <w:pStyle w:val="Style32"/>
              <w:widowControl/>
              <w:rPr>
                <w:rStyle w:val="FontStyle98"/>
                <w:sz w:val="16"/>
                <w:szCs w:val="16"/>
              </w:rPr>
            </w:pPr>
            <w:r>
              <w:rPr>
                <w:rStyle w:val="FontStyle98"/>
                <w:sz w:val="16"/>
              </w:rPr>
              <w:t>Honorarios de Mills, Potoczak</w:t>
            </w:r>
          </w:p>
        </w:tc>
        <w:tc>
          <w:tcPr>
            <w:tcW w:w="1418" w:type="dxa"/>
            <w:tcBorders>
              <w:top w:val="nil"/>
              <w:left w:val="nil"/>
              <w:bottom w:val="single" w:sz="6" w:space="0" w:color="auto"/>
              <w:right w:val="nil"/>
            </w:tcBorders>
          </w:tcPr>
          <w:p w:rsidR="00EF4B60" w:rsidRPr="001247FD" w:rsidRDefault="00EF4B60" w:rsidP="00F51C52">
            <w:pPr>
              <w:pStyle w:val="Style32"/>
              <w:widowControl/>
              <w:jc w:val="right"/>
              <w:rPr>
                <w:rStyle w:val="FontStyle98"/>
                <w:sz w:val="16"/>
                <w:szCs w:val="16"/>
              </w:rPr>
            </w:pPr>
            <w:r w:rsidRPr="001247FD">
              <w:rPr>
                <w:rStyle w:val="FontStyle98"/>
                <w:sz w:val="16"/>
                <w:szCs w:val="16"/>
              </w:rPr>
              <w:t>108,421</w:t>
            </w:r>
          </w:p>
        </w:tc>
        <w:tc>
          <w:tcPr>
            <w:tcW w:w="1508" w:type="dxa"/>
            <w:tcBorders>
              <w:top w:val="nil"/>
              <w:left w:val="nil"/>
              <w:bottom w:val="single" w:sz="6" w:space="0" w:color="auto"/>
              <w:right w:val="nil"/>
            </w:tcBorders>
          </w:tcPr>
          <w:p w:rsidR="00EF4B60" w:rsidRPr="001247FD" w:rsidRDefault="00EF4B60" w:rsidP="00F51C52">
            <w:pPr>
              <w:pStyle w:val="Style32"/>
              <w:widowControl/>
              <w:ind w:right="29"/>
              <w:jc w:val="right"/>
              <w:rPr>
                <w:rStyle w:val="FontStyle98"/>
                <w:sz w:val="16"/>
                <w:szCs w:val="16"/>
              </w:rPr>
            </w:pPr>
            <w:r w:rsidRPr="001247FD">
              <w:rPr>
                <w:rStyle w:val="FontStyle98"/>
                <w:sz w:val="16"/>
                <w:szCs w:val="16"/>
              </w:rPr>
              <w:t>108,421</w:t>
            </w:r>
          </w:p>
        </w:tc>
      </w:tr>
      <w:tr w:rsidR="00EF4B60" w:rsidRPr="001735F9" w:rsidTr="00915E8A">
        <w:tblPrEx>
          <w:tblCellMar>
            <w:top w:w="0" w:type="dxa"/>
            <w:bottom w:w="0" w:type="dxa"/>
          </w:tblCellMar>
        </w:tblPrEx>
        <w:tc>
          <w:tcPr>
            <w:tcW w:w="5670" w:type="dxa"/>
            <w:tcBorders>
              <w:top w:val="nil"/>
              <w:left w:val="nil"/>
              <w:right w:val="nil"/>
            </w:tcBorders>
          </w:tcPr>
          <w:p w:rsidR="00EF4B60" w:rsidRPr="001735F9" w:rsidRDefault="00EF4B60" w:rsidP="00F51C52">
            <w:pPr>
              <w:pStyle w:val="Style32"/>
              <w:widowControl/>
              <w:rPr>
                <w:rStyle w:val="FontStyle98"/>
                <w:sz w:val="16"/>
                <w:szCs w:val="16"/>
              </w:rPr>
            </w:pPr>
            <w:r>
              <w:rPr>
                <w:rStyle w:val="FontStyle98"/>
                <w:sz w:val="16"/>
              </w:rPr>
              <w:t>Total de gastos del portafolio de pólizas</w:t>
            </w:r>
          </w:p>
        </w:tc>
        <w:tc>
          <w:tcPr>
            <w:tcW w:w="1418" w:type="dxa"/>
            <w:tcBorders>
              <w:top w:val="single" w:sz="6" w:space="0" w:color="auto"/>
              <w:left w:val="nil"/>
              <w:bottom w:val="nil"/>
              <w:right w:val="nil"/>
            </w:tcBorders>
          </w:tcPr>
          <w:p w:rsidR="00EF4B60" w:rsidRPr="001247FD" w:rsidRDefault="00EF4B60" w:rsidP="00F51C52">
            <w:pPr>
              <w:pStyle w:val="Style61"/>
              <w:widowControl/>
              <w:jc w:val="right"/>
              <w:rPr>
                <w:rStyle w:val="FontStyle99"/>
                <w:sz w:val="16"/>
                <w:szCs w:val="16"/>
              </w:rPr>
            </w:pPr>
            <w:r w:rsidRPr="001247FD">
              <w:rPr>
                <w:rStyle w:val="FontStyle99"/>
                <w:sz w:val="16"/>
                <w:szCs w:val="16"/>
              </w:rPr>
              <w:t>14,301,428</w:t>
            </w:r>
          </w:p>
        </w:tc>
        <w:tc>
          <w:tcPr>
            <w:tcW w:w="1508" w:type="dxa"/>
            <w:tcBorders>
              <w:top w:val="single" w:sz="6" w:space="0" w:color="auto"/>
              <w:left w:val="nil"/>
              <w:bottom w:val="nil"/>
              <w:right w:val="nil"/>
            </w:tcBorders>
          </w:tcPr>
          <w:p w:rsidR="00EF4B60" w:rsidRPr="001247FD" w:rsidRDefault="00EF4B60" w:rsidP="00F51C52">
            <w:pPr>
              <w:pStyle w:val="Style61"/>
              <w:widowControl/>
              <w:ind w:right="10"/>
              <w:jc w:val="right"/>
              <w:rPr>
                <w:rStyle w:val="FontStyle99"/>
                <w:sz w:val="16"/>
                <w:szCs w:val="16"/>
              </w:rPr>
            </w:pPr>
            <w:r w:rsidRPr="001247FD">
              <w:rPr>
                <w:rStyle w:val="FontStyle99"/>
                <w:sz w:val="16"/>
                <w:szCs w:val="16"/>
              </w:rPr>
              <w:t>16,146,690</w:t>
            </w:r>
          </w:p>
        </w:tc>
      </w:tr>
      <w:tr w:rsidR="00EF4B60" w:rsidRPr="001735F9" w:rsidTr="00915E8A">
        <w:tblPrEx>
          <w:tblCellMar>
            <w:top w:w="0" w:type="dxa"/>
            <w:bottom w:w="0" w:type="dxa"/>
          </w:tblCellMar>
        </w:tblPrEx>
        <w:tc>
          <w:tcPr>
            <w:tcW w:w="5670" w:type="dxa"/>
            <w:tcBorders>
              <w:top w:val="nil"/>
              <w:left w:val="nil"/>
              <w:right w:val="nil"/>
            </w:tcBorders>
          </w:tcPr>
          <w:p w:rsidR="00EF4B60" w:rsidRPr="001735F9" w:rsidRDefault="00EF4B60" w:rsidP="00F51C52">
            <w:pPr>
              <w:pStyle w:val="Style32"/>
              <w:widowControl/>
              <w:rPr>
                <w:rStyle w:val="FontStyle98"/>
                <w:sz w:val="16"/>
                <w:szCs w:val="16"/>
              </w:rPr>
            </w:pPr>
          </w:p>
          <w:p w:rsidR="00EF4B60" w:rsidRPr="001735F9" w:rsidRDefault="00EF4B60" w:rsidP="00F51C52">
            <w:pPr>
              <w:pStyle w:val="Style32"/>
              <w:widowControl/>
              <w:rPr>
                <w:rStyle w:val="FontStyle98"/>
                <w:sz w:val="16"/>
                <w:szCs w:val="16"/>
                <w:u w:val="single"/>
              </w:rPr>
            </w:pPr>
            <w:r>
              <w:rPr>
                <w:rStyle w:val="FontStyle98"/>
                <w:sz w:val="16"/>
                <w:u w:val="single"/>
              </w:rPr>
              <w:t>Gastos de reestructuración</w:t>
            </w:r>
          </w:p>
        </w:tc>
        <w:tc>
          <w:tcPr>
            <w:tcW w:w="1418" w:type="dxa"/>
            <w:tcBorders>
              <w:top w:val="nil"/>
              <w:left w:val="nil"/>
              <w:bottom w:val="nil"/>
              <w:right w:val="nil"/>
            </w:tcBorders>
          </w:tcPr>
          <w:p w:rsidR="00EF4B60" w:rsidRPr="001247FD" w:rsidRDefault="00EF4B60" w:rsidP="00F51C52">
            <w:pPr>
              <w:pStyle w:val="Style40"/>
              <w:widowControl/>
              <w:rPr>
                <w:sz w:val="16"/>
                <w:szCs w:val="16"/>
              </w:rPr>
            </w:pPr>
          </w:p>
        </w:tc>
        <w:tc>
          <w:tcPr>
            <w:tcW w:w="1508" w:type="dxa"/>
            <w:tcBorders>
              <w:top w:val="nil"/>
              <w:left w:val="nil"/>
              <w:bottom w:val="nil"/>
              <w:right w:val="nil"/>
            </w:tcBorders>
          </w:tcPr>
          <w:p w:rsidR="00EF4B60" w:rsidRPr="001247FD" w:rsidRDefault="00EF4B60" w:rsidP="00F51C52">
            <w:pPr>
              <w:pStyle w:val="Style40"/>
              <w:widowControl/>
              <w:rPr>
                <w:sz w:val="16"/>
                <w:szCs w:val="16"/>
              </w:rPr>
            </w:pPr>
          </w:p>
        </w:tc>
      </w:tr>
      <w:tr w:rsidR="00EF4B60" w:rsidRPr="001735F9" w:rsidTr="00915E8A">
        <w:tblPrEx>
          <w:tblCellMar>
            <w:top w:w="0" w:type="dxa"/>
            <w:bottom w:w="0" w:type="dxa"/>
          </w:tblCellMar>
        </w:tblPrEx>
        <w:tc>
          <w:tcPr>
            <w:tcW w:w="5670" w:type="dxa"/>
            <w:tcBorders>
              <w:left w:val="nil"/>
              <w:bottom w:val="nil"/>
              <w:right w:val="nil"/>
            </w:tcBorders>
          </w:tcPr>
          <w:p w:rsidR="00EF4B60" w:rsidRPr="001735F9" w:rsidRDefault="00EF4B60" w:rsidP="00F51C52">
            <w:pPr>
              <w:pStyle w:val="Style32"/>
              <w:widowControl/>
              <w:rPr>
                <w:rStyle w:val="FontStyle98"/>
                <w:sz w:val="16"/>
                <w:szCs w:val="16"/>
              </w:rPr>
            </w:pPr>
            <w:r>
              <w:rPr>
                <w:rStyle w:val="FontStyle98"/>
                <w:sz w:val="16"/>
              </w:rPr>
              <w:t>Honorarios y desembolsos del Supervisor</w:t>
            </w:r>
          </w:p>
        </w:tc>
        <w:tc>
          <w:tcPr>
            <w:tcW w:w="1418" w:type="dxa"/>
            <w:tcBorders>
              <w:top w:val="nil"/>
              <w:left w:val="nil"/>
              <w:bottom w:val="nil"/>
              <w:right w:val="nil"/>
            </w:tcBorders>
          </w:tcPr>
          <w:p w:rsidR="00EF4B60" w:rsidRPr="001247FD" w:rsidRDefault="00EF4B60" w:rsidP="00F51C52">
            <w:pPr>
              <w:pStyle w:val="Style32"/>
              <w:widowControl/>
              <w:jc w:val="right"/>
              <w:rPr>
                <w:rStyle w:val="FontStyle98"/>
                <w:sz w:val="16"/>
                <w:szCs w:val="16"/>
              </w:rPr>
            </w:pPr>
            <w:r w:rsidRPr="001247FD">
              <w:rPr>
                <w:rStyle w:val="FontStyle98"/>
                <w:sz w:val="16"/>
                <w:szCs w:val="16"/>
              </w:rPr>
              <w:t>384,000</w:t>
            </w:r>
          </w:p>
        </w:tc>
        <w:tc>
          <w:tcPr>
            <w:tcW w:w="1508" w:type="dxa"/>
            <w:tcBorders>
              <w:top w:val="nil"/>
              <w:left w:val="nil"/>
              <w:bottom w:val="nil"/>
              <w:right w:val="nil"/>
            </w:tcBorders>
          </w:tcPr>
          <w:p w:rsidR="00EF4B60" w:rsidRPr="001247FD" w:rsidRDefault="00EF4B60" w:rsidP="00F51C52">
            <w:pPr>
              <w:pStyle w:val="Style32"/>
              <w:widowControl/>
              <w:ind w:right="5"/>
              <w:jc w:val="right"/>
              <w:rPr>
                <w:rStyle w:val="FontStyle98"/>
                <w:sz w:val="16"/>
                <w:szCs w:val="16"/>
              </w:rPr>
            </w:pPr>
            <w:r w:rsidRPr="001247FD">
              <w:rPr>
                <w:rStyle w:val="FontStyle98"/>
                <w:sz w:val="16"/>
                <w:szCs w:val="16"/>
              </w:rPr>
              <w:t>384,000</w:t>
            </w:r>
          </w:p>
        </w:tc>
      </w:tr>
      <w:tr w:rsidR="00EF4B60" w:rsidRPr="001735F9" w:rsidTr="00915E8A">
        <w:tblPrEx>
          <w:tblCellMar>
            <w:top w:w="0" w:type="dxa"/>
            <w:bottom w:w="0" w:type="dxa"/>
          </w:tblCellMar>
        </w:tblPrEx>
        <w:tc>
          <w:tcPr>
            <w:tcW w:w="5670" w:type="dxa"/>
            <w:tcBorders>
              <w:top w:val="nil"/>
              <w:left w:val="nil"/>
              <w:bottom w:val="nil"/>
              <w:right w:val="nil"/>
            </w:tcBorders>
          </w:tcPr>
          <w:p w:rsidR="00EF4B60" w:rsidRPr="001735F9" w:rsidRDefault="00EF4B60" w:rsidP="00F51C52">
            <w:pPr>
              <w:pStyle w:val="Style32"/>
              <w:widowControl/>
              <w:rPr>
                <w:rStyle w:val="FontStyle98"/>
                <w:sz w:val="16"/>
                <w:szCs w:val="16"/>
              </w:rPr>
            </w:pPr>
            <w:r>
              <w:rPr>
                <w:rStyle w:val="FontStyle98"/>
                <w:sz w:val="16"/>
              </w:rPr>
              <w:t>Honorarios legales y desembolsos:</w:t>
            </w:r>
          </w:p>
        </w:tc>
        <w:tc>
          <w:tcPr>
            <w:tcW w:w="1418" w:type="dxa"/>
            <w:tcBorders>
              <w:top w:val="nil"/>
              <w:left w:val="nil"/>
              <w:bottom w:val="nil"/>
              <w:right w:val="nil"/>
            </w:tcBorders>
          </w:tcPr>
          <w:p w:rsidR="00EF4B60" w:rsidRPr="001247FD" w:rsidRDefault="00EF4B60" w:rsidP="00F51C52">
            <w:pPr>
              <w:pStyle w:val="Style32"/>
              <w:widowControl/>
              <w:rPr>
                <w:rStyle w:val="FontStyle98"/>
                <w:sz w:val="16"/>
                <w:szCs w:val="16"/>
              </w:rPr>
            </w:pPr>
          </w:p>
        </w:tc>
        <w:tc>
          <w:tcPr>
            <w:tcW w:w="1508" w:type="dxa"/>
            <w:tcBorders>
              <w:top w:val="nil"/>
              <w:left w:val="nil"/>
              <w:bottom w:val="nil"/>
              <w:right w:val="nil"/>
            </w:tcBorders>
          </w:tcPr>
          <w:p w:rsidR="00EF4B60" w:rsidRPr="001247FD" w:rsidRDefault="00EF4B60" w:rsidP="00F51C52">
            <w:pPr>
              <w:pStyle w:val="Style32"/>
              <w:widowControl/>
              <w:rPr>
                <w:rStyle w:val="FontStyle98"/>
                <w:sz w:val="16"/>
                <w:szCs w:val="16"/>
              </w:rPr>
            </w:pPr>
          </w:p>
        </w:tc>
      </w:tr>
      <w:tr w:rsidR="00EF4B60" w:rsidRPr="001735F9" w:rsidTr="00915E8A">
        <w:tblPrEx>
          <w:tblCellMar>
            <w:top w:w="0" w:type="dxa"/>
            <w:bottom w:w="0" w:type="dxa"/>
          </w:tblCellMar>
        </w:tblPrEx>
        <w:tc>
          <w:tcPr>
            <w:tcW w:w="5670" w:type="dxa"/>
            <w:tcBorders>
              <w:top w:val="nil"/>
              <w:left w:val="nil"/>
              <w:bottom w:val="nil"/>
              <w:right w:val="nil"/>
            </w:tcBorders>
          </w:tcPr>
          <w:p w:rsidR="00EF4B60" w:rsidRPr="001735F9" w:rsidRDefault="00EF4B60" w:rsidP="00F51C52">
            <w:pPr>
              <w:pStyle w:val="Style32"/>
              <w:widowControl/>
              <w:ind w:left="274"/>
              <w:rPr>
                <w:rStyle w:val="FontStyle98"/>
                <w:sz w:val="16"/>
                <w:szCs w:val="16"/>
              </w:rPr>
            </w:pPr>
            <w:r>
              <w:rPr>
                <w:rStyle w:val="FontStyle98"/>
                <w:sz w:val="16"/>
              </w:rPr>
              <w:t>Ogilvy Renault LLP</w:t>
            </w:r>
          </w:p>
        </w:tc>
        <w:tc>
          <w:tcPr>
            <w:tcW w:w="1418" w:type="dxa"/>
            <w:tcBorders>
              <w:top w:val="nil"/>
              <w:left w:val="nil"/>
              <w:bottom w:val="nil"/>
              <w:right w:val="nil"/>
            </w:tcBorders>
          </w:tcPr>
          <w:p w:rsidR="00EF4B60" w:rsidRPr="001247FD" w:rsidRDefault="00EF4B60" w:rsidP="00F51C52">
            <w:pPr>
              <w:pStyle w:val="Style32"/>
              <w:widowControl/>
              <w:jc w:val="right"/>
              <w:rPr>
                <w:rStyle w:val="FontStyle98"/>
                <w:sz w:val="16"/>
                <w:szCs w:val="16"/>
              </w:rPr>
            </w:pPr>
            <w:r w:rsidRPr="001247FD">
              <w:rPr>
                <w:rStyle w:val="FontStyle98"/>
                <w:sz w:val="16"/>
                <w:szCs w:val="16"/>
              </w:rPr>
              <w:t>108,000</w:t>
            </w:r>
          </w:p>
        </w:tc>
        <w:tc>
          <w:tcPr>
            <w:tcW w:w="1508" w:type="dxa"/>
            <w:tcBorders>
              <w:top w:val="nil"/>
              <w:left w:val="nil"/>
              <w:bottom w:val="nil"/>
              <w:right w:val="nil"/>
            </w:tcBorders>
          </w:tcPr>
          <w:p w:rsidR="00EF4B60" w:rsidRPr="001247FD" w:rsidRDefault="00EF4B60" w:rsidP="00F51C52">
            <w:pPr>
              <w:pStyle w:val="Style32"/>
              <w:widowControl/>
              <w:ind w:right="5"/>
              <w:jc w:val="right"/>
              <w:rPr>
                <w:rStyle w:val="FontStyle98"/>
                <w:sz w:val="16"/>
                <w:szCs w:val="16"/>
              </w:rPr>
            </w:pPr>
            <w:r w:rsidRPr="001247FD">
              <w:rPr>
                <w:rStyle w:val="FontStyle98"/>
                <w:sz w:val="16"/>
                <w:szCs w:val="16"/>
              </w:rPr>
              <w:t>108,000</w:t>
            </w:r>
          </w:p>
        </w:tc>
      </w:tr>
      <w:tr w:rsidR="00EF4B60" w:rsidRPr="001735F9" w:rsidTr="00915E8A">
        <w:tblPrEx>
          <w:tblCellMar>
            <w:top w:w="0" w:type="dxa"/>
            <w:bottom w:w="0" w:type="dxa"/>
          </w:tblCellMar>
        </w:tblPrEx>
        <w:tc>
          <w:tcPr>
            <w:tcW w:w="5670" w:type="dxa"/>
            <w:tcBorders>
              <w:top w:val="nil"/>
              <w:left w:val="nil"/>
              <w:bottom w:val="nil"/>
              <w:right w:val="nil"/>
            </w:tcBorders>
          </w:tcPr>
          <w:p w:rsidR="00EF4B60" w:rsidRPr="001735F9" w:rsidRDefault="00EF4B60" w:rsidP="00F51C52">
            <w:pPr>
              <w:pStyle w:val="Style32"/>
              <w:widowControl/>
              <w:ind w:left="274"/>
              <w:rPr>
                <w:rStyle w:val="FontStyle98"/>
                <w:sz w:val="16"/>
                <w:szCs w:val="16"/>
              </w:rPr>
            </w:pPr>
            <w:r>
              <w:rPr>
                <w:rStyle w:val="FontStyle98"/>
                <w:sz w:val="16"/>
              </w:rPr>
              <w:t>Rueter Scargall Bennett LLP</w:t>
            </w:r>
          </w:p>
        </w:tc>
        <w:tc>
          <w:tcPr>
            <w:tcW w:w="1418" w:type="dxa"/>
            <w:tcBorders>
              <w:top w:val="nil"/>
              <w:left w:val="nil"/>
              <w:bottom w:val="nil"/>
              <w:right w:val="nil"/>
            </w:tcBorders>
          </w:tcPr>
          <w:p w:rsidR="00EF4B60" w:rsidRPr="001247FD" w:rsidRDefault="00EF4B60" w:rsidP="00F51C52">
            <w:pPr>
              <w:pStyle w:val="Style32"/>
              <w:widowControl/>
              <w:jc w:val="right"/>
              <w:rPr>
                <w:rStyle w:val="FontStyle98"/>
                <w:sz w:val="16"/>
                <w:szCs w:val="16"/>
              </w:rPr>
            </w:pPr>
            <w:r w:rsidRPr="001247FD">
              <w:rPr>
                <w:rStyle w:val="FontStyle98"/>
                <w:sz w:val="16"/>
                <w:szCs w:val="16"/>
              </w:rPr>
              <w:t>34,500</w:t>
            </w:r>
          </w:p>
        </w:tc>
        <w:tc>
          <w:tcPr>
            <w:tcW w:w="1508" w:type="dxa"/>
            <w:tcBorders>
              <w:top w:val="nil"/>
              <w:left w:val="nil"/>
              <w:bottom w:val="nil"/>
              <w:right w:val="nil"/>
            </w:tcBorders>
          </w:tcPr>
          <w:p w:rsidR="00EF4B60" w:rsidRPr="001247FD" w:rsidRDefault="00EF4B60" w:rsidP="00F51C52">
            <w:pPr>
              <w:pStyle w:val="Style32"/>
              <w:widowControl/>
              <w:ind w:right="5"/>
              <w:jc w:val="right"/>
              <w:rPr>
                <w:rStyle w:val="FontStyle98"/>
                <w:sz w:val="16"/>
                <w:szCs w:val="16"/>
              </w:rPr>
            </w:pPr>
            <w:r w:rsidRPr="001247FD">
              <w:rPr>
                <w:rStyle w:val="FontStyle98"/>
                <w:sz w:val="16"/>
                <w:szCs w:val="16"/>
              </w:rPr>
              <w:t>34,500</w:t>
            </w:r>
          </w:p>
        </w:tc>
      </w:tr>
      <w:tr w:rsidR="00EF4B60" w:rsidRPr="001735F9" w:rsidTr="00915E8A">
        <w:tblPrEx>
          <w:tblCellMar>
            <w:top w:w="0" w:type="dxa"/>
            <w:bottom w:w="0" w:type="dxa"/>
          </w:tblCellMar>
        </w:tblPrEx>
        <w:tc>
          <w:tcPr>
            <w:tcW w:w="5670" w:type="dxa"/>
            <w:tcBorders>
              <w:top w:val="nil"/>
              <w:left w:val="nil"/>
              <w:bottom w:val="nil"/>
              <w:right w:val="nil"/>
            </w:tcBorders>
          </w:tcPr>
          <w:p w:rsidR="00EF4B60" w:rsidRPr="00EF4B60" w:rsidRDefault="00EF4B60" w:rsidP="00F51C52">
            <w:pPr>
              <w:pStyle w:val="Style32"/>
              <w:widowControl/>
              <w:ind w:left="274"/>
              <w:rPr>
                <w:rStyle w:val="FontStyle98"/>
                <w:sz w:val="16"/>
                <w:szCs w:val="16"/>
                <w:lang w:val="en-US"/>
              </w:rPr>
            </w:pPr>
            <w:r w:rsidRPr="00EF4B60">
              <w:rPr>
                <w:rStyle w:val="FontStyle98"/>
                <w:sz w:val="16"/>
                <w:lang w:val="en-US"/>
              </w:rPr>
              <w:t>Blake, Cassels and Graydon LLP</w:t>
            </w:r>
          </w:p>
        </w:tc>
        <w:tc>
          <w:tcPr>
            <w:tcW w:w="1418" w:type="dxa"/>
            <w:tcBorders>
              <w:top w:val="nil"/>
              <w:left w:val="nil"/>
              <w:bottom w:val="single" w:sz="6" w:space="0" w:color="auto"/>
              <w:right w:val="nil"/>
            </w:tcBorders>
          </w:tcPr>
          <w:p w:rsidR="00EF4B60" w:rsidRPr="001247FD" w:rsidRDefault="00EF4B60" w:rsidP="00F51C52">
            <w:pPr>
              <w:pStyle w:val="Style32"/>
              <w:widowControl/>
              <w:jc w:val="right"/>
              <w:rPr>
                <w:rStyle w:val="FontStyle98"/>
                <w:sz w:val="16"/>
                <w:szCs w:val="16"/>
              </w:rPr>
            </w:pPr>
            <w:r w:rsidRPr="001247FD">
              <w:rPr>
                <w:rStyle w:val="FontStyle98"/>
                <w:sz w:val="16"/>
                <w:szCs w:val="16"/>
              </w:rPr>
              <w:t>92,000</w:t>
            </w:r>
          </w:p>
        </w:tc>
        <w:tc>
          <w:tcPr>
            <w:tcW w:w="1508" w:type="dxa"/>
            <w:tcBorders>
              <w:top w:val="nil"/>
              <w:left w:val="nil"/>
              <w:bottom w:val="single" w:sz="6" w:space="0" w:color="auto"/>
              <w:right w:val="nil"/>
            </w:tcBorders>
          </w:tcPr>
          <w:p w:rsidR="00EF4B60" w:rsidRPr="001247FD" w:rsidRDefault="00EF4B60" w:rsidP="00F51C52">
            <w:pPr>
              <w:pStyle w:val="Style32"/>
              <w:widowControl/>
              <w:ind w:right="5"/>
              <w:jc w:val="right"/>
              <w:rPr>
                <w:rStyle w:val="FontStyle98"/>
                <w:sz w:val="16"/>
                <w:szCs w:val="16"/>
              </w:rPr>
            </w:pPr>
            <w:r w:rsidRPr="001247FD">
              <w:rPr>
                <w:rStyle w:val="FontStyle98"/>
                <w:sz w:val="16"/>
                <w:szCs w:val="16"/>
              </w:rPr>
              <w:t>92,000</w:t>
            </w:r>
          </w:p>
        </w:tc>
      </w:tr>
      <w:tr w:rsidR="00EF4B60" w:rsidRPr="001735F9" w:rsidTr="00915E8A">
        <w:tblPrEx>
          <w:tblCellMar>
            <w:top w:w="0" w:type="dxa"/>
            <w:bottom w:w="0" w:type="dxa"/>
          </w:tblCellMar>
        </w:tblPrEx>
        <w:tc>
          <w:tcPr>
            <w:tcW w:w="5670" w:type="dxa"/>
            <w:tcBorders>
              <w:top w:val="nil"/>
              <w:left w:val="nil"/>
              <w:right w:val="nil"/>
            </w:tcBorders>
          </w:tcPr>
          <w:p w:rsidR="00EF4B60" w:rsidRPr="001735F9" w:rsidRDefault="00EF4B60" w:rsidP="00F51C52">
            <w:pPr>
              <w:pStyle w:val="Style32"/>
              <w:widowControl/>
              <w:rPr>
                <w:rStyle w:val="FontStyle98"/>
                <w:sz w:val="16"/>
                <w:szCs w:val="16"/>
              </w:rPr>
            </w:pPr>
            <w:r>
              <w:rPr>
                <w:rStyle w:val="FontStyle98"/>
                <w:sz w:val="16"/>
              </w:rPr>
              <w:t>Total de gastos de reestructuración</w:t>
            </w:r>
          </w:p>
        </w:tc>
        <w:tc>
          <w:tcPr>
            <w:tcW w:w="1418" w:type="dxa"/>
            <w:tcBorders>
              <w:top w:val="single" w:sz="6" w:space="0" w:color="auto"/>
              <w:left w:val="nil"/>
              <w:bottom w:val="single" w:sz="6" w:space="0" w:color="auto"/>
              <w:right w:val="nil"/>
            </w:tcBorders>
          </w:tcPr>
          <w:p w:rsidR="00EF4B60" w:rsidRPr="001247FD" w:rsidRDefault="00EF4B60" w:rsidP="00F51C52">
            <w:pPr>
              <w:pStyle w:val="Style61"/>
              <w:widowControl/>
              <w:jc w:val="right"/>
              <w:rPr>
                <w:rStyle w:val="FontStyle99"/>
                <w:sz w:val="16"/>
                <w:szCs w:val="16"/>
              </w:rPr>
            </w:pPr>
            <w:r w:rsidRPr="001247FD">
              <w:rPr>
                <w:rStyle w:val="FontStyle99"/>
                <w:sz w:val="16"/>
                <w:szCs w:val="16"/>
              </w:rPr>
              <w:t>618,500</w:t>
            </w:r>
          </w:p>
        </w:tc>
        <w:tc>
          <w:tcPr>
            <w:tcW w:w="1508" w:type="dxa"/>
            <w:tcBorders>
              <w:top w:val="single" w:sz="6" w:space="0" w:color="auto"/>
              <w:left w:val="nil"/>
              <w:bottom w:val="single" w:sz="6" w:space="0" w:color="auto"/>
              <w:right w:val="nil"/>
            </w:tcBorders>
          </w:tcPr>
          <w:p w:rsidR="00EF4B60" w:rsidRPr="001247FD" w:rsidRDefault="00EF4B60" w:rsidP="00F51C52">
            <w:pPr>
              <w:pStyle w:val="Style61"/>
              <w:widowControl/>
              <w:ind w:right="5"/>
              <w:jc w:val="right"/>
              <w:rPr>
                <w:rStyle w:val="FontStyle99"/>
                <w:sz w:val="16"/>
                <w:szCs w:val="16"/>
              </w:rPr>
            </w:pPr>
            <w:r w:rsidRPr="001247FD">
              <w:rPr>
                <w:rStyle w:val="FontStyle99"/>
                <w:sz w:val="16"/>
                <w:szCs w:val="16"/>
              </w:rPr>
              <w:t>618,500</w:t>
            </w:r>
          </w:p>
        </w:tc>
      </w:tr>
      <w:tr w:rsidR="00EF4B60" w:rsidRPr="001735F9" w:rsidTr="00915E8A">
        <w:tblPrEx>
          <w:tblCellMar>
            <w:top w:w="0" w:type="dxa"/>
            <w:bottom w:w="0" w:type="dxa"/>
          </w:tblCellMar>
        </w:tblPrEx>
        <w:tc>
          <w:tcPr>
            <w:tcW w:w="5670" w:type="dxa"/>
            <w:tcBorders>
              <w:top w:val="nil"/>
              <w:left w:val="nil"/>
              <w:right w:val="nil"/>
            </w:tcBorders>
          </w:tcPr>
          <w:p w:rsidR="00EF4B60" w:rsidRPr="001735F9" w:rsidRDefault="00EF4B60" w:rsidP="00F51C52">
            <w:pPr>
              <w:pStyle w:val="Style32"/>
              <w:widowControl/>
              <w:rPr>
                <w:rStyle w:val="FontStyle98"/>
                <w:sz w:val="16"/>
                <w:szCs w:val="16"/>
                <w:u w:val="single"/>
              </w:rPr>
            </w:pPr>
          </w:p>
          <w:p w:rsidR="00EF4B60" w:rsidRPr="001735F9" w:rsidRDefault="00EF4B60" w:rsidP="00F51C52">
            <w:pPr>
              <w:pStyle w:val="Style32"/>
              <w:widowControl/>
              <w:rPr>
                <w:rStyle w:val="FontStyle98"/>
                <w:sz w:val="16"/>
                <w:szCs w:val="16"/>
              </w:rPr>
            </w:pPr>
            <w:r>
              <w:rPr>
                <w:rStyle w:val="FontStyle98"/>
                <w:sz w:val="16"/>
                <w:u w:val="single"/>
              </w:rPr>
              <w:t>Otros gastos</w:t>
            </w:r>
            <w:r>
              <w:rPr>
                <w:rStyle w:val="FontStyle98"/>
              </w:rPr>
              <w:t>:</w:t>
            </w:r>
          </w:p>
        </w:tc>
        <w:tc>
          <w:tcPr>
            <w:tcW w:w="1418" w:type="dxa"/>
            <w:tcBorders>
              <w:top w:val="single" w:sz="6" w:space="0" w:color="auto"/>
              <w:left w:val="nil"/>
              <w:bottom w:val="nil"/>
              <w:right w:val="nil"/>
            </w:tcBorders>
          </w:tcPr>
          <w:p w:rsidR="00EF4B60" w:rsidRPr="001247FD" w:rsidRDefault="00EF4B60" w:rsidP="00F51C52">
            <w:pPr>
              <w:pStyle w:val="Style40"/>
              <w:widowControl/>
              <w:rPr>
                <w:sz w:val="16"/>
                <w:szCs w:val="16"/>
              </w:rPr>
            </w:pPr>
          </w:p>
        </w:tc>
        <w:tc>
          <w:tcPr>
            <w:tcW w:w="1508" w:type="dxa"/>
            <w:tcBorders>
              <w:top w:val="single" w:sz="6" w:space="0" w:color="auto"/>
              <w:left w:val="nil"/>
              <w:bottom w:val="nil"/>
              <w:right w:val="nil"/>
            </w:tcBorders>
          </w:tcPr>
          <w:p w:rsidR="00EF4B60" w:rsidRPr="001247FD" w:rsidRDefault="00EF4B60" w:rsidP="00F51C52">
            <w:pPr>
              <w:pStyle w:val="Style40"/>
              <w:widowControl/>
              <w:rPr>
                <w:sz w:val="16"/>
                <w:szCs w:val="16"/>
              </w:rPr>
            </w:pPr>
          </w:p>
        </w:tc>
      </w:tr>
      <w:tr w:rsidR="00EF4B60" w:rsidRPr="001735F9" w:rsidTr="00915E8A">
        <w:tblPrEx>
          <w:tblCellMar>
            <w:top w:w="0" w:type="dxa"/>
            <w:bottom w:w="0" w:type="dxa"/>
          </w:tblCellMar>
        </w:tblPrEx>
        <w:tc>
          <w:tcPr>
            <w:tcW w:w="5670" w:type="dxa"/>
            <w:tcBorders>
              <w:left w:val="nil"/>
              <w:bottom w:val="nil"/>
              <w:right w:val="nil"/>
            </w:tcBorders>
          </w:tcPr>
          <w:p w:rsidR="00EF4B60" w:rsidRPr="001735F9" w:rsidRDefault="00EF4B60" w:rsidP="00F51C52">
            <w:pPr>
              <w:pStyle w:val="Style32"/>
              <w:widowControl/>
              <w:rPr>
                <w:rStyle w:val="FontStyle98"/>
                <w:sz w:val="16"/>
                <w:szCs w:val="16"/>
              </w:rPr>
            </w:pPr>
            <w:r>
              <w:rPr>
                <w:rStyle w:val="FontStyle98"/>
                <w:sz w:val="16"/>
              </w:rPr>
              <w:t>Cargos bancarios y otros gastos</w:t>
            </w:r>
          </w:p>
        </w:tc>
        <w:tc>
          <w:tcPr>
            <w:tcW w:w="1418" w:type="dxa"/>
            <w:tcBorders>
              <w:top w:val="nil"/>
              <w:left w:val="nil"/>
              <w:bottom w:val="single" w:sz="6" w:space="0" w:color="auto"/>
              <w:right w:val="nil"/>
            </w:tcBorders>
          </w:tcPr>
          <w:p w:rsidR="00EF4B60" w:rsidRPr="001247FD" w:rsidRDefault="00EF4B60" w:rsidP="00F51C52">
            <w:pPr>
              <w:pStyle w:val="Style32"/>
              <w:widowControl/>
              <w:jc w:val="right"/>
              <w:rPr>
                <w:rStyle w:val="FontStyle98"/>
                <w:sz w:val="16"/>
                <w:szCs w:val="16"/>
              </w:rPr>
            </w:pPr>
            <w:r w:rsidRPr="001247FD">
              <w:rPr>
                <w:rStyle w:val="FontStyle98"/>
                <w:sz w:val="16"/>
                <w:szCs w:val="16"/>
              </w:rPr>
              <w:t>4,482</w:t>
            </w:r>
          </w:p>
        </w:tc>
        <w:tc>
          <w:tcPr>
            <w:tcW w:w="1508" w:type="dxa"/>
            <w:tcBorders>
              <w:top w:val="nil"/>
              <w:left w:val="nil"/>
              <w:bottom w:val="single" w:sz="6" w:space="0" w:color="auto"/>
              <w:right w:val="nil"/>
            </w:tcBorders>
          </w:tcPr>
          <w:p w:rsidR="00EF4B60" w:rsidRPr="001247FD" w:rsidRDefault="00EF4B60" w:rsidP="00F51C52">
            <w:pPr>
              <w:pStyle w:val="Style32"/>
              <w:widowControl/>
              <w:ind w:right="10"/>
              <w:jc w:val="right"/>
              <w:rPr>
                <w:rStyle w:val="FontStyle98"/>
                <w:sz w:val="16"/>
                <w:szCs w:val="16"/>
              </w:rPr>
            </w:pPr>
            <w:r w:rsidRPr="001247FD">
              <w:rPr>
                <w:rStyle w:val="FontStyle98"/>
                <w:sz w:val="16"/>
                <w:szCs w:val="16"/>
              </w:rPr>
              <w:t>4,482</w:t>
            </w:r>
          </w:p>
        </w:tc>
      </w:tr>
      <w:tr w:rsidR="00EF4B60" w:rsidRPr="001735F9" w:rsidTr="00915E8A">
        <w:tblPrEx>
          <w:tblCellMar>
            <w:top w:w="0" w:type="dxa"/>
            <w:bottom w:w="0" w:type="dxa"/>
          </w:tblCellMar>
        </w:tblPrEx>
        <w:tc>
          <w:tcPr>
            <w:tcW w:w="5670" w:type="dxa"/>
            <w:tcBorders>
              <w:top w:val="nil"/>
              <w:left w:val="nil"/>
              <w:bottom w:val="nil"/>
              <w:right w:val="nil"/>
            </w:tcBorders>
          </w:tcPr>
          <w:p w:rsidR="00EF4B60" w:rsidRPr="001735F9" w:rsidRDefault="00EF4B60" w:rsidP="00F51C52">
            <w:pPr>
              <w:pStyle w:val="Style32"/>
              <w:widowControl/>
              <w:rPr>
                <w:rStyle w:val="FontStyle98"/>
                <w:sz w:val="16"/>
                <w:szCs w:val="16"/>
              </w:rPr>
            </w:pPr>
            <w:r>
              <w:rPr>
                <w:rStyle w:val="FontStyle98"/>
                <w:sz w:val="16"/>
              </w:rPr>
              <w:t>Total de otros gastos</w:t>
            </w:r>
          </w:p>
        </w:tc>
        <w:tc>
          <w:tcPr>
            <w:tcW w:w="1418" w:type="dxa"/>
            <w:tcBorders>
              <w:top w:val="single" w:sz="6" w:space="0" w:color="auto"/>
              <w:left w:val="nil"/>
              <w:bottom w:val="single" w:sz="6" w:space="0" w:color="auto"/>
              <w:right w:val="nil"/>
            </w:tcBorders>
          </w:tcPr>
          <w:p w:rsidR="00EF4B60" w:rsidRPr="001247FD" w:rsidRDefault="00EF4B60" w:rsidP="00F51C52">
            <w:pPr>
              <w:pStyle w:val="Style61"/>
              <w:widowControl/>
              <w:jc w:val="right"/>
              <w:rPr>
                <w:rStyle w:val="FontStyle99"/>
                <w:sz w:val="16"/>
                <w:szCs w:val="16"/>
              </w:rPr>
            </w:pPr>
            <w:r w:rsidRPr="001247FD">
              <w:rPr>
                <w:rStyle w:val="FontStyle99"/>
                <w:sz w:val="16"/>
                <w:szCs w:val="16"/>
              </w:rPr>
              <w:t>4,482</w:t>
            </w:r>
          </w:p>
        </w:tc>
        <w:tc>
          <w:tcPr>
            <w:tcW w:w="1508" w:type="dxa"/>
            <w:tcBorders>
              <w:top w:val="single" w:sz="6" w:space="0" w:color="auto"/>
              <w:left w:val="nil"/>
              <w:bottom w:val="single" w:sz="6" w:space="0" w:color="auto"/>
              <w:right w:val="nil"/>
            </w:tcBorders>
          </w:tcPr>
          <w:p w:rsidR="00EF4B60" w:rsidRPr="001247FD" w:rsidRDefault="00EF4B60" w:rsidP="00F51C52">
            <w:pPr>
              <w:pStyle w:val="Style61"/>
              <w:widowControl/>
              <w:ind w:right="14"/>
              <w:jc w:val="right"/>
              <w:rPr>
                <w:rStyle w:val="FontStyle99"/>
                <w:sz w:val="16"/>
                <w:szCs w:val="16"/>
              </w:rPr>
            </w:pPr>
            <w:r w:rsidRPr="001247FD">
              <w:rPr>
                <w:rStyle w:val="FontStyle99"/>
                <w:sz w:val="16"/>
                <w:szCs w:val="16"/>
              </w:rPr>
              <w:t>4,482</w:t>
            </w:r>
          </w:p>
        </w:tc>
      </w:tr>
      <w:tr w:rsidR="00EF4B60" w:rsidRPr="001735F9" w:rsidTr="00915E8A">
        <w:tblPrEx>
          <w:tblCellMar>
            <w:top w:w="0" w:type="dxa"/>
            <w:bottom w:w="0" w:type="dxa"/>
          </w:tblCellMar>
        </w:tblPrEx>
        <w:tc>
          <w:tcPr>
            <w:tcW w:w="5670" w:type="dxa"/>
            <w:tcBorders>
              <w:top w:val="nil"/>
              <w:left w:val="nil"/>
              <w:bottom w:val="nil"/>
              <w:right w:val="nil"/>
            </w:tcBorders>
          </w:tcPr>
          <w:p w:rsidR="00EF4B60" w:rsidRPr="001735F9" w:rsidRDefault="00EF4B60" w:rsidP="00F51C52">
            <w:pPr>
              <w:pStyle w:val="Style61"/>
              <w:widowControl/>
              <w:rPr>
                <w:rStyle w:val="FontStyle99"/>
                <w:sz w:val="16"/>
                <w:szCs w:val="16"/>
              </w:rPr>
            </w:pPr>
          </w:p>
        </w:tc>
        <w:tc>
          <w:tcPr>
            <w:tcW w:w="1418" w:type="dxa"/>
            <w:tcBorders>
              <w:top w:val="single" w:sz="6" w:space="0" w:color="auto"/>
              <w:left w:val="nil"/>
              <w:bottom w:val="single" w:sz="6" w:space="0" w:color="auto"/>
              <w:right w:val="nil"/>
            </w:tcBorders>
          </w:tcPr>
          <w:p w:rsidR="00EF4B60" w:rsidRPr="001247FD" w:rsidRDefault="00EF4B60" w:rsidP="00F51C52">
            <w:pPr>
              <w:pStyle w:val="Style61"/>
              <w:widowControl/>
              <w:jc w:val="right"/>
              <w:rPr>
                <w:rStyle w:val="FontStyle99"/>
                <w:sz w:val="16"/>
                <w:szCs w:val="16"/>
              </w:rPr>
            </w:pPr>
          </w:p>
        </w:tc>
        <w:tc>
          <w:tcPr>
            <w:tcW w:w="1508" w:type="dxa"/>
            <w:tcBorders>
              <w:top w:val="single" w:sz="6" w:space="0" w:color="auto"/>
              <w:left w:val="nil"/>
              <w:bottom w:val="single" w:sz="6" w:space="0" w:color="auto"/>
              <w:right w:val="nil"/>
            </w:tcBorders>
          </w:tcPr>
          <w:p w:rsidR="00EF4B60" w:rsidRPr="001247FD" w:rsidRDefault="00EF4B60" w:rsidP="00F51C52">
            <w:pPr>
              <w:pStyle w:val="Style61"/>
              <w:widowControl/>
              <w:ind w:right="10"/>
              <w:jc w:val="right"/>
              <w:rPr>
                <w:rStyle w:val="FontStyle99"/>
                <w:sz w:val="16"/>
                <w:szCs w:val="16"/>
              </w:rPr>
            </w:pPr>
          </w:p>
        </w:tc>
      </w:tr>
      <w:tr w:rsidR="00EF4B60" w:rsidRPr="001735F9" w:rsidTr="00915E8A">
        <w:tblPrEx>
          <w:tblCellMar>
            <w:top w:w="0" w:type="dxa"/>
            <w:bottom w:w="0" w:type="dxa"/>
          </w:tblCellMar>
        </w:tblPrEx>
        <w:tc>
          <w:tcPr>
            <w:tcW w:w="5670" w:type="dxa"/>
            <w:tcBorders>
              <w:top w:val="nil"/>
              <w:left w:val="nil"/>
              <w:bottom w:val="nil"/>
              <w:right w:val="nil"/>
            </w:tcBorders>
          </w:tcPr>
          <w:p w:rsidR="00EF4B60" w:rsidRPr="001735F9" w:rsidRDefault="00EF4B60" w:rsidP="00F51C52">
            <w:pPr>
              <w:pStyle w:val="Style61"/>
              <w:widowControl/>
              <w:rPr>
                <w:rStyle w:val="FontStyle99"/>
                <w:sz w:val="16"/>
                <w:szCs w:val="16"/>
              </w:rPr>
            </w:pPr>
            <w:r>
              <w:rPr>
                <w:rStyle w:val="FontStyle99"/>
                <w:sz w:val="16"/>
              </w:rPr>
              <w:t>Total de desembolsos</w:t>
            </w:r>
          </w:p>
        </w:tc>
        <w:tc>
          <w:tcPr>
            <w:tcW w:w="1418" w:type="dxa"/>
            <w:tcBorders>
              <w:top w:val="single" w:sz="6" w:space="0" w:color="auto"/>
              <w:left w:val="nil"/>
              <w:bottom w:val="single" w:sz="6" w:space="0" w:color="auto"/>
              <w:right w:val="nil"/>
            </w:tcBorders>
          </w:tcPr>
          <w:p w:rsidR="00EF4B60" w:rsidRPr="001247FD" w:rsidRDefault="00EF4B60" w:rsidP="00F51C52">
            <w:pPr>
              <w:pStyle w:val="Style61"/>
              <w:widowControl/>
              <w:jc w:val="right"/>
              <w:rPr>
                <w:rStyle w:val="FontStyle99"/>
                <w:sz w:val="16"/>
                <w:szCs w:val="16"/>
              </w:rPr>
            </w:pPr>
            <w:r w:rsidRPr="001247FD">
              <w:rPr>
                <w:rStyle w:val="FontStyle99"/>
                <w:sz w:val="16"/>
                <w:szCs w:val="16"/>
              </w:rPr>
              <w:t>14,924,410</w:t>
            </w:r>
          </w:p>
        </w:tc>
        <w:tc>
          <w:tcPr>
            <w:tcW w:w="1508" w:type="dxa"/>
            <w:tcBorders>
              <w:top w:val="single" w:sz="6" w:space="0" w:color="auto"/>
              <w:left w:val="nil"/>
              <w:bottom w:val="single" w:sz="6" w:space="0" w:color="auto"/>
              <w:right w:val="nil"/>
            </w:tcBorders>
          </w:tcPr>
          <w:p w:rsidR="00EF4B60" w:rsidRPr="001247FD" w:rsidRDefault="00EF4B60" w:rsidP="00F51C52">
            <w:pPr>
              <w:pStyle w:val="Style61"/>
              <w:widowControl/>
              <w:ind w:right="10"/>
              <w:jc w:val="right"/>
              <w:rPr>
                <w:rStyle w:val="FontStyle99"/>
                <w:sz w:val="16"/>
                <w:szCs w:val="16"/>
              </w:rPr>
            </w:pPr>
            <w:r w:rsidRPr="001247FD">
              <w:rPr>
                <w:rStyle w:val="FontStyle99"/>
                <w:sz w:val="16"/>
                <w:szCs w:val="16"/>
              </w:rPr>
              <w:t>16,769,672</w:t>
            </w:r>
          </w:p>
        </w:tc>
      </w:tr>
      <w:tr w:rsidR="00EF4B60" w:rsidRPr="001735F9" w:rsidTr="00915E8A">
        <w:tblPrEx>
          <w:tblCellMar>
            <w:top w:w="0" w:type="dxa"/>
            <w:bottom w:w="0" w:type="dxa"/>
          </w:tblCellMar>
        </w:tblPrEx>
        <w:tc>
          <w:tcPr>
            <w:tcW w:w="5670" w:type="dxa"/>
            <w:tcBorders>
              <w:top w:val="nil"/>
              <w:left w:val="nil"/>
              <w:bottom w:val="nil"/>
              <w:right w:val="nil"/>
            </w:tcBorders>
          </w:tcPr>
          <w:p w:rsidR="00EF4B60" w:rsidRPr="001735F9" w:rsidRDefault="00EF4B60" w:rsidP="00F51C52">
            <w:pPr>
              <w:pStyle w:val="Style61"/>
              <w:widowControl/>
              <w:rPr>
                <w:rStyle w:val="FontStyle99"/>
                <w:sz w:val="16"/>
                <w:szCs w:val="16"/>
              </w:rPr>
            </w:pPr>
          </w:p>
        </w:tc>
        <w:tc>
          <w:tcPr>
            <w:tcW w:w="1418" w:type="dxa"/>
            <w:tcBorders>
              <w:top w:val="single" w:sz="6" w:space="0" w:color="auto"/>
              <w:left w:val="nil"/>
              <w:bottom w:val="single" w:sz="6" w:space="0" w:color="auto"/>
              <w:right w:val="nil"/>
            </w:tcBorders>
          </w:tcPr>
          <w:p w:rsidR="00EF4B60" w:rsidRPr="001247FD" w:rsidRDefault="00EF4B60" w:rsidP="00F51C52">
            <w:pPr>
              <w:pStyle w:val="Style61"/>
              <w:widowControl/>
              <w:jc w:val="right"/>
              <w:rPr>
                <w:rStyle w:val="FontStyle99"/>
                <w:sz w:val="16"/>
                <w:szCs w:val="16"/>
              </w:rPr>
            </w:pPr>
          </w:p>
        </w:tc>
        <w:tc>
          <w:tcPr>
            <w:tcW w:w="1508" w:type="dxa"/>
            <w:tcBorders>
              <w:top w:val="single" w:sz="6" w:space="0" w:color="auto"/>
              <w:left w:val="nil"/>
              <w:bottom w:val="single" w:sz="6" w:space="0" w:color="auto"/>
              <w:right w:val="nil"/>
            </w:tcBorders>
          </w:tcPr>
          <w:p w:rsidR="00EF4B60" w:rsidRPr="001247FD" w:rsidRDefault="00EF4B60" w:rsidP="00F51C52">
            <w:pPr>
              <w:pStyle w:val="Style61"/>
              <w:widowControl/>
              <w:ind w:left="451"/>
              <w:rPr>
                <w:rStyle w:val="FontStyle99"/>
                <w:b w:val="0"/>
                <w:sz w:val="16"/>
                <w:szCs w:val="16"/>
              </w:rPr>
            </w:pPr>
          </w:p>
        </w:tc>
      </w:tr>
      <w:tr w:rsidR="00EF4B60" w:rsidRPr="001735F9" w:rsidTr="00915E8A">
        <w:tblPrEx>
          <w:tblCellMar>
            <w:top w:w="0" w:type="dxa"/>
            <w:bottom w:w="0" w:type="dxa"/>
          </w:tblCellMar>
        </w:tblPrEx>
        <w:tc>
          <w:tcPr>
            <w:tcW w:w="5670" w:type="dxa"/>
            <w:tcBorders>
              <w:top w:val="nil"/>
              <w:left w:val="nil"/>
              <w:bottom w:val="nil"/>
              <w:right w:val="nil"/>
            </w:tcBorders>
          </w:tcPr>
          <w:p w:rsidR="00EF4B60" w:rsidRPr="001735F9" w:rsidRDefault="00EF4B60" w:rsidP="00F51C52">
            <w:pPr>
              <w:pStyle w:val="Style61"/>
              <w:widowControl/>
              <w:rPr>
                <w:rStyle w:val="FontStyle99"/>
                <w:sz w:val="16"/>
                <w:szCs w:val="16"/>
              </w:rPr>
            </w:pPr>
            <w:r>
              <w:rPr>
                <w:rStyle w:val="FontStyle99"/>
                <w:sz w:val="16"/>
              </w:rPr>
              <w:t>Entradas de efectivo menos desembolsos</w:t>
            </w:r>
          </w:p>
        </w:tc>
        <w:tc>
          <w:tcPr>
            <w:tcW w:w="1418" w:type="dxa"/>
            <w:tcBorders>
              <w:top w:val="single" w:sz="6" w:space="0" w:color="auto"/>
              <w:left w:val="nil"/>
              <w:bottom w:val="single" w:sz="6" w:space="0" w:color="auto"/>
              <w:right w:val="nil"/>
            </w:tcBorders>
          </w:tcPr>
          <w:p w:rsidR="00EF4B60" w:rsidRPr="001247FD" w:rsidRDefault="00EF4B60" w:rsidP="00F51C52">
            <w:pPr>
              <w:pStyle w:val="Style61"/>
              <w:widowControl/>
              <w:jc w:val="right"/>
              <w:rPr>
                <w:rStyle w:val="FontStyle99"/>
                <w:sz w:val="16"/>
                <w:szCs w:val="16"/>
              </w:rPr>
            </w:pPr>
            <w:r w:rsidRPr="001247FD">
              <w:rPr>
                <w:rStyle w:val="FontStyle99"/>
                <w:sz w:val="16"/>
                <w:szCs w:val="16"/>
              </w:rPr>
              <w:t>90,010,745</w:t>
            </w:r>
          </w:p>
        </w:tc>
        <w:tc>
          <w:tcPr>
            <w:tcW w:w="1508" w:type="dxa"/>
            <w:tcBorders>
              <w:top w:val="single" w:sz="6" w:space="0" w:color="auto"/>
              <w:left w:val="nil"/>
              <w:bottom w:val="single" w:sz="6" w:space="0" w:color="auto"/>
              <w:right w:val="nil"/>
            </w:tcBorders>
          </w:tcPr>
          <w:p w:rsidR="00EF4B60" w:rsidRPr="001247FD" w:rsidRDefault="00EF4B60" w:rsidP="00F51C52">
            <w:pPr>
              <w:pStyle w:val="Style61"/>
              <w:widowControl/>
              <w:ind w:left="451"/>
              <w:jc w:val="right"/>
              <w:rPr>
                <w:rStyle w:val="FontStyle99"/>
                <w:sz w:val="16"/>
                <w:szCs w:val="16"/>
              </w:rPr>
            </w:pPr>
            <w:r w:rsidRPr="001247FD">
              <w:rPr>
                <w:rStyle w:val="FontStyle99"/>
                <w:sz w:val="16"/>
                <w:szCs w:val="16"/>
              </w:rPr>
              <w:t>(15,936,306)</w:t>
            </w:r>
          </w:p>
        </w:tc>
      </w:tr>
      <w:tr w:rsidR="00EF4B60" w:rsidRPr="001735F9" w:rsidTr="001247FD">
        <w:tblPrEx>
          <w:tblCellMar>
            <w:top w:w="0" w:type="dxa"/>
            <w:bottom w:w="0" w:type="dxa"/>
          </w:tblCellMar>
        </w:tblPrEx>
        <w:tc>
          <w:tcPr>
            <w:tcW w:w="5670" w:type="dxa"/>
            <w:tcBorders>
              <w:top w:val="nil"/>
              <w:left w:val="nil"/>
              <w:bottom w:val="nil"/>
              <w:right w:val="nil"/>
            </w:tcBorders>
          </w:tcPr>
          <w:p w:rsidR="00EF4B60" w:rsidRPr="001735F9" w:rsidRDefault="00EF4B60" w:rsidP="00F51C52">
            <w:pPr>
              <w:pStyle w:val="Style61"/>
              <w:widowControl/>
              <w:rPr>
                <w:rStyle w:val="FontStyle99"/>
                <w:sz w:val="16"/>
                <w:szCs w:val="16"/>
              </w:rPr>
            </w:pPr>
          </w:p>
        </w:tc>
        <w:tc>
          <w:tcPr>
            <w:tcW w:w="1418" w:type="dxa"/>
            <w:tcBorders>
              <w:top w:val="single" w:sz="6" w:space="0" w:color="auto"/>
              <w:left w:val="nil"/>
              <w:bottom w:val="single" w:sz="6" w:space="0" w:color="auto"/>
              <w:right w:val="nil"/>
            </w:tcBorders>
          </w:tcPr>
          <w:p w:rsidR="00EF4B60" w:rsidRPr="001247FD" w:rsidRDefault="00EF4B60" w:rsidP="00F51C52">
            <w:pPr>
              <w:pStyle w:val="Style61"/>
              <w:widowControl/>
              <w:jc w:val="right"/>
              <w:rPr>
                <w:rStyle w:val="FontStyle99"/>
                <w:sz w:val="16"/>
                <w:szCs w:val="16"/>
              </w:rPr>
            </w:pPr>
          </w:p>
        </w:tc>
        <w:tc>
          <w:tcPr>
            <w:tcW w:w="1508" w:type="dxa"/>
            <w:tcBorders>
              <w:top w:val="single" w:sz="6" w:space="0" w:color="auto"/>
              <w:left w:val="nil"/>
              <w:bottom w:val="single" w:sz="6" w:space="0" w:color="auto"/>
              <w:right w:val="nil"/>
            </w:tcBorders>
          </w:tcPr>
          <w:p w:rsidR="00EF4B60" w:rsidRPr="001247FD" w:rsidRDefault="00EF4B60" w:rsidP="00F51C52">
            <w:pPr>
              <w:pStyle w:val="Style61"/>
              <w:widowControl/>
              <w:jc w:val="right"/>
              <w:rPr>
                <w:rStyle w:val="FontStyle99"/>
                <w:b w:val="0"/>
                <w:sz w:val="16"/>
                <w:szCs w:val="16"/>
              </w:rPr>
            </w:pPr>
          </w:p>
        </w:tc>
      </w:tr>
      <w:tr w:rsidR="00EF4B60" w:rsidRPr="001735F9" w:rsidTr="001247FD">
        <w:tblPrEx>
          <w:tblCellMar>
            <w:top w:w="0" w:type="dxa"/>
            <w:bottom w:w="0" w:type="dxa"/>
          </w:tblCellMar>
        </w:tblPrEx>
        <w:tc>
          <w:tcPr>
            <w:tcW w:w="5670" w:type="dxa"/>
            <w:tcBorders>
              <w:top w:val="nil"/>
              <w:left w:val="nil"/>
              <w:bottom w:val="nil"/>
              <w:right w:val="nil"/>
            </w:tcBorders>
          </w:tcPr>
          <w:p w:rsidR="00EF4B60" w:rsidRPr="001735F9" w:rsidRDefault="00EF4B60" w:rsidP="00F51C52">
            <w:pPr>
              <w:pStyle w:val="Style61"/>
              <w:widowControl/>
              <w:rPr>
                <w:rStyle w:val="FontStyle99"/>
                <w:sz w:val="16"/>
                <w:szCs w:val="16"/>
              </w:rPr>
            </w:pPr>
            <w:r>
              <w:rPr>
                <w:rStyle w:val="FontStyle99"/>
                <w:sz w:val="16"/>
              </w:rPr>
              <w:t>Saldo de caja final, 30 de septiembre de 2012</w:t>
            </w:r>
          </w:p>
        </w:tc>
        <w:tc>
          <w:tcPr>
            <w:tcW w:w="1418" w:type="dxa"/>
            <w:tcBorders>
              <w:top w:val="single" w:sz="6" w:space="0" w:color="auto"/>
              <w:left w:val="nil"/>
              <w:bottom w:val="double" w:sz="4" w:space="0" w:color="auto"/>
              <w:right w:val="nil"/>
            </w:tcBorders>
          </w:tcPr>
          <w:p w:rsidR="00EF4B60" w:rsidRPr="001247FD" w:rsidRDefault="00EF4B60" w:rsidP="00F51C52">
            <w:pPr>
              <w:pStyle w:val="Style61"/>
              <w:widowControl/>
              <w:jc w:val="right"/>
              <w:rPr>
                <w:rStyle w:val="FontStyle99"/>
                <w:sz w:val="16"/>
                <w:szCs w:val="16"/>
              </w:rPr>
            </w:pPr>
            <w:r w:rsidRPr="001247FD">
              <w:rPr>
                <w:rStyle w:val="FontStyle99"/>
                <w:sz w:val="16"/>
                <w:szCs w:val="16"/>
              </w:rPr>
              <w:t>100,561,280</w:t>
            </w:r>
          </w:p>
        </w:tc>
        <w:tc>
          <w:tcPr>
            <w:tcW w:w="1508" w:type="dxa"/>
            <w:tcBorders>
              <w:top w:val="single" w:sz="6" w:space="0" w:color="auto"/>
              <w:left w:val="nil"/>
              <w:bottom w:val="double" w:sz="4" w:space="0" w:color="auto"/>
              <w:right w:val="nil"/>
            </w:tcBorders>
          </w:tcPr>
          <w:p w:rsidR="00EF4B60" w:rsidRPr="001247FD" w:rsidRDefault="00EF4B60" w:rsidP="00F51C52">
            <w:pPr>
              <w:pStyle w:val="Style61"/>
              <w:widowControl/>
              <w:jc w:val="right"/>
              <w:rPr>
                <w:rStyle w:val="FontStyle99"/>
                <w:sz w:val="16"/>
                <w:szCs w:val="16"/>
              </w:rPr>
            </w:pPr>
            <w:r w:rsidRPr="001247FD">
              <w:rPr>
                <w:rStyle w:val="FontStyle99"/>
                <w:sz w:val="16"/>
                <w:szCs w:val="16"/>
              </w:rPr>
              <w:t>(5,385,771)</w:t>
            </w:r>
          </w:p>
        </w:tc>
      </w:tr>
    </w:tbl>
    <w:p w:rsidR="00EF4B60" w:rsidRPr="001247FD" w:rsidRDefault="00EF4B60" w:rsidP="00F51C52">
      <w:pPr>
        <w:pStyle w:val="Style26"/>
        <w:widowControl/>
        <w:spacing w:before="187"/>
        <w:rPr>
          <w:rStyle w:val="FontStyle99"/>
          <w:sz w:val="16"/>
          <w:szCs w:val="16"/>
          <w:u w:val="single"/>
        </w:rPr>
      </w:pPr>
      <w:r w:rsidRPr="001247FD">
        <w:rPr>
          <w:rStyle w:val="FontStyle99"/>
          <w:sz w:val="16"/>
          <w:szCs w:val="16"/>
          <w:u w:val="single"/>
        </w:rPr>
        <w:t>Notas:</w:t>
      </w:r>
    </w:p>
    <w:p w:rsidR="00EF4B60" w:rsidRPr="001247FD" w:rsidRDefault="00EF4B60" w:rsidP="00F51C52">
      <w:pPr>
        <w:pStyle w:val="Style47"/>
        <w:widowControl/>
        <w:spacing w:before="38"/>
        <w:jc w:val="both"/>
        <w:rPr>
          <w:rStyle w:val="FontStyle98"/>
          <w:sz w:val="16"/>
          <w:szCs w:val="16"/>
        </w:rPr>
      </w:pPr>
      <w:r w:rsidRPr="001247FD">
        <w:rPr>
          <w:rStyle w:val="FontStyle98"/>
          <w:sz w:val="16"/>
          <w:szCs w:val="16"/>
        </w:rPr>
        <w:t>Todos los saldos de caja son registrados por USI según su valor contable.</w:t>
      </w:r>
    </w:p>
    <w:p w:rsidR="00EF4B60" w:rsidRPr="001247FD" w:rsidRDefault="00EF4B60" w:rsidP="00F51C52">
      <w:pPr>
        <w:pStyle w:val="Style47"/>
        <w:widowControl/>
        <w:spacing w:before="235"/>
        <w:jc w:val="both"/>
        <w:rPr>
          <w:rStyle w:val="FontStyle98"/>
          <w:sz w:val="16"/>
          <w:szCs w:val="16"/>
        </w:rPr>
      </w:pPr>
      <w:r w:rsidRPr="001247FD">
        <w:rPr>
          <w:rStyle w:val="FontStyle98"/>
          <w:sz w:val="16"/>
          <w:szCs w:val="16"/>
        </w:rPr>
        <w:t>Se utilizó una tasa de cambio de USD/CAD 0.95.</w:t>
      </w:r>
    </w:p>
    <w:p w:rsidR="00EF4B60" w:rsidRPr="001735F9" w:rsidRDefault="00EF4B60" w:rsidP="00F51C52">
      <w:pPr>
        <w:pStyle w:val="Style47"/>
        <w:widowControl/>
        <w:spacing w:before="235"/>
        <w:jc w:val="both"/>
        <w:rPr>
          <w:rStyle w:val="FontStyle98"/>
        </w:rPr>
      </w:pPr>
    </w:p>
    <w:p w:rsidR="00EF4B60" w:rsidRDefault="00EF4B60" w:rsidP="00F51C52">
      <w:pPr>
        <w:pStyle w:val="Style79"/>
        <w:widowControl/>
        <w:spacing w:line="643" w:lineRule="exact"/>
        <w:jc w:val="both"/>
        <w:sectPr w:rsidR="00EF4B60" w:rsidSect="00915E8A">
          <w:pgSz w:w="12242" w:h="15842" w:code="1"/>
          <w:pgMar w:top="1440" w:right="1440" w:bottom="1440" w:left="1440" w:header="720" w:footer="720" w:gutter="0"/>
          <w:pgNumType w:fmt="numberInDash"/>
          <w:cols w:space="60"/>
          <w:noEndnote/>
        </w:sect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both"/>
        <w:rPr>
          <w:rStyle w:val="FontStyle101"/>
        </w:rPr>
      </w:pPr>
    </w:p>
    <w:p w:rsidR="00EF4B60" w:rsidRPr="001735F9" w:rsidRDefault="00EF4B60" w:rsidP="00F51C52">
      <w:pPr>
        <w:pStyle w:val="Style79"/>
        <w:widowControl/>
        <w:spacing w:line="643" w:lineRule="exact"/>
        <w:jc w:val="center"/>
        <w:rPr>
          <w:rStyle w:val="FontStyle101"/>
        </w:rPr>
      </w:pPr>
    </w:p>
    <w:p w:rsidR="00EF4B60" w:rsidRDefault="00EF4B60" w:rsidP="00F51C52">
      <w:pPr>
        <w:pStyle w:val="Style79"/>
        <w:widowControl/>
        <w:spacing w:line="643" w:lineRule="exact"/>
        <w:jc w:val="center"/>
        <w:rPr>
          <w:rStyle w:val="FontStyle101"/>
        </w:rPr>
      </w:pPr>
    </w:p>
    <w:p w:rsidR="00EF4B60" w:rsidRDefault="00EF4B60" w:rsidP="00F51C52">
      <w:pPr>
        <w:pStyle w:val="Style79"/>
        <w:widowControl/>
        <w:spacing w:line="643" w:lineRule="exact"/>
        <w:jc w:val="center"/>
        <w:rPr>
          <w:rStyle w:val="FontStyle101"/>
        </w:rPr>
      </w:pPr>
    </w:p>
    <w:p w:rsidR="00EF4B60" w:rsidRPr="001735F9" w:rsidRDefault="00EF4B60" w:rsidP="00F51C52">
      <w:pPr>
        <w:pStyle w:val="Style79"/>
        <w:widowControl/>
        <w:spacing w:line="643" w:lineRule="exact"/>
        <w:jc w:val="center"/>
        <w:rPr>
          <w:rStyle w:val="FontStyle101"/>
        </w:rPr>
      </w:pPr>
      <w:r>
        <w:rPr>
          <w:rStyle w:val="FontStyle101"/>
        </w:rPr>
        <w:t>Apéndice “E”</w:t>
      </w:r>
    </w:p>
    <w:p w:rsidR="00EF4B60" w:rsidRDefault="00EF4B60" w:rsidP="00F51C52">
      <w:pPr>
        <w:pStyle w:val="Style28"/>
        <w:widowControl/>
        <w:ind w:left="6864"/>
        <w:jc w:val="both"/>
        <w:sectPr w:rsidR="00EF4B60" w:rsidSect="00915E8A">
          <w:headerReference w:type="default" r:id="rId14"/>
          <w:footerReference w:type="default" r:id="rId15"/>
          <w:pgSz w:w="12242" w:h="15842" w:code="1"/>
          <w:pgMar w:top="1440" w:right="1440" w:bottom="1440" w:left="1440" w:header="720" w:footer="720" w:gutter="0"/>
          <w:pgNumType w:fmt="numberInDash"/>
          <w:cols w:space="60"/>
          <w:noEndnote/>
        </w:sectPr>
      </w:pPr>
    </w:p>
    <w:p w:rsidR="00EF4B60" w:rsidRPr="001735F9" w:rsidRDefault="00EF4B60" w:rsidP="00F51C52">
      <w:pPr>
        <w:pStyle w:val="Style28"/>
        <w:widowControl/>
        <w:jc w:val="center"/>
        <w:rPr>
          <w:rStyle w:val="FontStyle102"/>
          <w:rFonts w:ascii="Times New Roman" w:hAnsi="Times New Roman" w:cs="Times New Roman"/>
          <w:sz w:val="24"/>
          <w:szCs w:val="24"/>
        </w:rPr>
      </w:pPr>
    </w:p>
    <w:p w:rsidR="00EF4B60" w:rsidRPr="003E2931" w:rsidRDefault="00EF4B60" w:rsidP="00F51C52">
      <w:pPr>
        <w:pStyle w:val="Style28"/>
        <w:widowControl/>
        <w:jc w:val="center"/>
        <w:rPr>
          <w:rStyle w:val="FontStyle102"/>
          <w:rFonts w:ascii="Times New Roman" w:hAnsi="Times New Roman" w:cs="Times New Roman"/>
          <w:sz w:val="22"/>
          <w:szCs w:val="22"/>
        </w:rPr>
      </w:pPr>
    </w:p>
    <w:p w:rsidR="00EF4B60" w:rsidRPr="003E2931" w:rsidRDefault="00EF4B60" w:rsidP="00F51C52">
      <w:pPr>
        <w:pStyle w:val="Style31"/>
        <w:widowControl/>
        <w:spacing w:line="240" w:lineRule="exact"/>
        <w:jc w:val="center"/>
        <w:rPr>
          <w:sz w:val="22"/>
          <w:szCs w:val="22"/>
        </w:rPr>
      </w:pPr>
    </w:p>
    <w:p w:rsidR="00EF4B60" w:rsidRPr="003E2931" w:rsidRDefault="00EF4B60" w:rsidP="00F51C52">
      <w:pPr>
        <w:pStyle w:val="Style31"/>
        <w:widowControl/>
        <w:spacing w:line="240" w:lineRule="exact"/>
        <w:jc w:val="center"/>
        <w:rPr>
          <w:b/>
          <w:sz w:val="22"/>
          <w:szCs w:val="22"/>
        </w:rPr>
      </w:pPr>
      <w:r>
        <w:rPr>
          <w:b/>
          <w:sz w:val="22"/>
        </w:rPr>
        <w:t>EN EL ASUNTO DE UN ARBITRAJE</w:t>
      </w:r>
    </w:p>
    <w:p w:rsidR="00EF4B60" w:rsidRPr="003E2931" w:rsidRDefault="00EF4B60" w:rsidP="00F51C52">
      <w:pPr>
        <w:pStyle w:val="Style31"/>
        <w:widowControl/>
        <w:spacing w:line="240" w:lineRule="exact"/>
        <w:jc w:val="center"/>
        <w:rPr>
          <w:b/>
          <w:sz w:val="22"/>
          <w:szCs w:val="22"/>
        </w:rPr>
      </w:pPr>
    </w:p>
    <w:p w:rsidR="00EF4B60" w:rsidRPr="003E2931" w:rsidRDefault="00EF4B60" w:rsidP="00F51C52">
      <w:pPr>
        <w:pStyle w:val="Style31"/>
        <w:widowControl/>
        <w:spacing w:line="240" w:lineRule="exact"/>
        <w:jc w:val="center"/>
        <w:rPr>
          <w:b/>
          <w:sz w:val="22"/>
          <w:szCs w:val="22"/>
        </w:rPr>
      </w:pPr>
    </w:p>
    <w:p w:rsidR="00EF4B60" w:rsidRPr="003E2931" w:rsidRDefault="00EF4B60" w:rsidP="00F51C52">
      <w:pPr>
        <w:pStyle w:val="Style31"/>
        <w:widowControl/>
        <w:spacing w:line="240" w:lineRule="exact"/>
        <w:jc w:val="center"/>
        <w:rPr>
          <w:b/>
          <w:sz w:val="22"/>
          <w:szCs w:val="22"/>
        </w:rPr>
      </w:pPr>
    </w:p>
    <w:p w:rsidR="00EF4B60" w:rsidRPr="008D7DDC" w:rsidRDefault="00EF4B60" w:rsidP="00F51C52">
      <w:pPr>
        <w:pStyle w:val="Style31"/>
        <w:widowControl/>
        <w:spacing w:before="120"/>
        <w:jc w:val="both"/>
        <w:rPr>
          <w:rStyle w:val="FontStyle103"/>
          <w:rFonts w:ascii="Times New Roman" w:hAnsi="Times New Roman" w:cs="Times New Roman"/>
          <w:spacing w:val="50"/>
          <w:lang w:val="fr-CA"/>
        </w:rPr>
      </w:pPr>
      <w:r w:rsidRPr="008D7DDC">
        <w:rPr>
          <w:rStyle w:val="FontStyle103"/>
          <w:rFonts w:ascii="Times New Roman" w:hAnsi="Times New Roman"/>
          <w:spacing w:val="50"/>
          <w:lang w:val="fr-CA"/>
        </w:rPr>
        <w:t>ENTRE:</w:t>
      </w:r>
    </w:p>
    <w:p w:rsidR="00EF4B60" w:rsidRPr="008D7DDC" w:rsidRDefault="00EF4B60" w:rsidP="00F51C52">
      <w:pPr>
        <w:pStyle w:val="Style54"/>
        <w:widowControl/>
        <w:spacing w:line="240" w:lineRule="exact"/>
        <w:ind w:left="1224" w:right="960"/>
        <w:rPr>
          <w:b/>
          <w:sz w:val="22"/>
          <w:szCs w:val="22"/>
          <w:lang w:val="fr-CA"/>
        </w:rPr>
      </w:pPr>
    </w:p>
    <w:p w:rsidR="00EF4B60" w:rsidRPr="008D7DDC" w:rsidRDefault="00EF4B60" w:rsidP="00F51C52">
      <w:pPr>
        <w:pStyle w:val="Style54"/>
        <w:widowControl/>
        <w:spacing w:line="240" w:lineRule="exact"/>
        <w:ind w:left="1224" w:right="960"/>
        <w:rPr>
          <w:b/>
          <w:sz w:val="22"/>
          <w:szCs w:val="22"/>
          <w:lang w:val="fr-CA"/>
        </w:rPr>
      </w:pPr>
    </w:p>
    <w:p w:rsidR="00EF4B60" w:rsidRPr="008D7DDC" w:rsidRDefault="00EF4B60" w:rsidP="00F51C52">
      <w:pPr>
        <w:pStyle w:val="Style54"/>
        <w:widowControl/>
        <w:spacing w:before="19"/>
        <w:ind w:right="51" w:firstLine="0"/>
        <w:jc w:val="center"/>
        <w:rPr>
          <w:rStyle w:val="FontStyle104"/>
          <w:rFonts w:ascii="Times New Roman" w:hAnsi="Times New Roman" w:cs="Times New Roman"/>
          <w:lang w:val="fr-CA"/>
        </w:rPr>
      </w:pPr>
      <w:r w:rsidRPr="008D7DDC">
        <w:rPr>
          <w:rStyle w:val="FontStyle104"/>
          <w:rFonts w:ascii="Times New Roman" w:hAnsi="Times New Roman"/>
          <w:lang w:val="fr-CA"/>
        </w:rPr>
        <w:t xml:space="preserve">UNIVERSAL SETTLEMENTS INTERNATIONAL INC., </w:t>
      </w:r>
    </w:p>
    <w:p w:rsidR="00EF4B60" w:rsidRPr="003E2931" w:rsidRDefault="00EF4B60" w:rsidP="00F51C52">
      <w:pPr>
        <w:pStyle w:val="Style54"/>
        <w:widowControl/>
        <w:spacing w:before="19"/>
        <w:ind w:right="51" w:firstLine="0"/>
        <w:jc w:val="center"/>
        <w:rPr>
          <w:rStyle w:val="FontStyle104"/>
          <w:rFonts w:ascii="Times New Roman" w:hAnsi="Times New Roman" w:cs="Times New Roman"/>
        </w:rPr>
      </w:pPr>
      <w:r>
        <w:rPr>
          <w:rStyle w:val="FontStyle104"/>
          <w:rFonts w:ascii="Times New Roman" w:hAnsi="Times New Roman"/>
        </w:rPr>
        <w:t xml:space="preserve">EL BROKERWISE GROUP INC. </w:t>
      </w:r>
      <w:proofErr w:type="gramStart"/>
      <w:r>
        <w:rPr>
          <w:rStyle w:val="FontStyle104"/>
          <w:rFonts w:ascii="Times New Roman" w:hAnsi="Times New Roman"/>
        </w:rPr>
        <w:t>y</w:t>
      </w:r>
      <w:proofErr w:type="gramEnd"/>
      <w:r>
        <w:rPr>
          <w:rStyle w:val="FontStyle104"/>
          <w:rFonts w:ascii="Times New Roman" w:hAnsi="Times New Roman"/>
        </w:rPr>
        <w:t xml:space="preserve"> 1508211 ONTARIO INC.</w:t>
      </w:r>
    </w:p>
    <w:p w:rsidR="00EF4B60" w:rsidRPr="003E2931" w:rsidRDefault="00EF4B60" w:rsidP="00F51C52">
      <w:pPr>
        <w:pStyle w:val="Style31"/>
        <w:widowControl/>
        <w:spacing w:line="240" w:lineRule="exact"/>
        <w:ind w:right="10"/>
        <w:jc w:val="right"/>
        <w:rPr>
          <w:sz w:val="22"/>
          <w:szCs w:val="22"/>
        </w:rPr>
      </w:pPr>
    </w:p>
    <w:p w:rsidR="00EF4B60" w:rsidRPr="003E2931" w:rsidRDefault="00EF4B60" w:rsidP="00F51C52">
      <w:pPr>
        <w:pStyle w:val="Style31"/>
        <w:widowControl/>
        <w:spacing w:before="10"/>
        <w:ind w:right="10"/>
        <w:jc w:val="right"/>
        <w:rPr>
          <w:rStyle w:val="FontStyle103"/>
          <w:rFonts w:ascii="Times New Roman" w:hAnsi="Times New Roman" w:cs="Times New Roman"/>
        </w:rPr>
      </w:pPr>
      <w:r>
        <w:rPr>
          <w:rStyle w:val="FontStyle103"/>
          <w:rFonts w:ascii="Times New Roman" w:hAnsi="Times New Roman"/>
        </w:rPr>
        <w:t>Demandantes</w:t>
      </w:r>
    </w:p>
    <w:p w:rsidR="00EF4B60" w:rsidRPr="003E2931" w:rsidRDefault="00EF4B60" w:rsidP="00F51C52">
      <w:pPr>
        <w:pStyle w:val="Style31"/>
        <w:widowControl/>
        <w:spacing w:line="240" w:lineRule="exact"/>
        <w:ind w:left="4186"/>
        <w:jc w:val="both"/>
        <w:rPr>
          <w:sz w:val="22"/>
          <w:szCs w:val="22"/>
        </w:rPr>
      </w:pPr>
    </w:p>
    <w:p w:rsidR="00EF4B60" w:rsidRPr="003E2931" w:rsidRDefault="00EF4B60" w:rsidP="00F51C52">
      <w:pPr>
        <w:pStyle w:val="Style31"/>
        <w:widowControl/>
        <w:spacing w:line="240" w:lineRule="exact"/>
        <w:ind w:left="4186"/>
        <w:jc w:val="both"/>
        <w:rPr>
          <w:sz w:val="22"/>
          <w:szCs w:val="22"/>
        </w:rPr>
      </w:pPr>
    </w:p>
    <w:p w:rsidR="00EF4B60" w:rsidRPr="003E2931" w:rsidRDefault="00EF4B60" w:rsidP="00F51C52">
      <w:pPr>
        <w:pStyle w:val="Style31"/>
        <w:widowControl/>
        <w:spacing w:before="5"/>
        <w:ind w:left="4186"/>
        <w:jc w:val="both"/>
        <w:rPr>
          <w:rStyle w:val="FontStyle103"/>
          <w:rFonts w:ascii="Times New Roman" w:hAnsi="Times New Roman" w:cs="Times New Roman"/>
        </w:rPr>
      </w:pPr>
      <w:r>
        <w:rPr>
          <w:rStyle w:val="FontStyle103"/>
          <w:rFonts w:ascii="Times New Roman" w:hAnsi="Times New Roman"/>
        </w:rPr>
        <w:t>- y -</w:t>
      </w:r>
    </w:p>
    <w:p w:rsidR="00EF4B60" w:rsidRPr="001735F9" w:rsidRDefault="00EF4B60" w:rsidP="00F51C52">
      <w:pPr>
        <w:pStyle w:val="Style24"/>
        <w:widowControl/>
        <w:spacing w:line="240" w:lineRule="exact"/>
        <w:ind w:left="1286"/>
        <w:jc w:val="left"/>
        <w:rPr>
          <w:sz w:val="20"/>
          <w:szCs w:val="20"/>
        </w:rPr>
      </w:pPr>
    </w:p>
    <w:p w:rsidR="00EF4B60" w:rsidRPr="001735F9" w:rsidRDefault="00EF4B60" w:rsidP="00F51C52">
      <w:pPr>
        <w:pStyle w:val="Style24"/>
        <w:widowControl/>
        <w:spacing w:line="240" w:lineRule="exact"/>
        <w:ind w:left="1286"/>
        <w:jc w:val="left"/>
        <w:rPr>
          <w:sz w:val="20"/>
          <w:szCs w:val="20"/>
        </w:rPr>
      </w:pPr>
    </w:p>
    <w:p w:rsidR="00EF4B60" w:rsidRPr="001735F9" w:rsidRDefault="00EF4B60" w:rsidP="00F51C52">
      <w:pPr>
        <w:pStyle w:val="Style24"/>
        <w:widowControl/>
        <w:spacing w:line="240" w:lineRule="exact"/>
        <w:ind w:left="1286"/>
        <w:jc w:val="left"/>
        <w:rPr>
          <w:sz w:val="20"/>
          <w:szCs w:val="20"/>
        </w:rPr>
      </w:pPr>
    </w:p>
    <w:p w:rsidR="00EF4B60" w:rsidRPr="001735F9" w:rsidRDefault="00EF4B60" w:rsidP="00F51C52">
      <w:pPr>
        <w:pStyle w:val="Style24"/>
        <w:widowControl/>
        <w:spacing w:before="43"/>
        <w:ind w:left="1286"/>
        <w:jc w:val="left"/>
        <w:rPr>
          <w:rStyle w:val="FontStyle104"/>
          <w:rFonts w:ascii="Times New Roman" w:hAnsi="Times New Roman" w:cs="Times New Roman"/>
        </w:rPr>
      </w:pPr>
      <w:r>
        <w:rPr>
          <w:rStyle w:val="FontStyle104"/>
          <w:rFonts w:ascii="Times New Roman" w:hAnsi="Times New Roman"/>
        </w:rPr>
        <w:t>ANTONIO DUSCIO y MARTINA CAPITAL CORPORATION</w:t>
      </w:r>
    </w:p>
    <w:p w:rsidR="00EF4B60" w:rsidRPr="001735F9" w:rsidRDefault="00EF4B60" w:rsidP="00F51C52">
      <w:pPr>
        <w:pStyle w:val="Style31"/>
        <w:widowControl/>
        <w:spacing w:before="240"/>
        <w:ind w:right="19"/>
        <w:jc w:val="right"/>
        <w:rPr>
          <w:rStyle w:val="FontStyle103"/>
          <w:rFonts w:ascii="Times New Roman" w:hAnsi="Times New Roman" w:cs="Times New Roman"/>
        </w:rPr>
      </w:pPr>
      <w:r>
        <w:rPr>
          <w:rStyle w:val="FontStyle103"/>
          <w:rFonts w:ascii="Times New Roman" w:hAnsi="Times New Roman"/>
        </w:rPr>
        <w:t>Demandados</w:t>
      </w:r>
    </w:p>
    <w:p w:rsidR="00EF4B60" w:rsidRPr="001735F9" w:rsidRDefault="00EF4B60" w:rsidP="00F51C52">
      <w:pPr>
        <w:pStyle w:val="Style24"/>
        <w:widowControl/>
        <w:spacing w:line="240" w:lineRule="exact"/>
        <w:rPr>
          <w:sz w:val="20"/>
          <w:szCs w:val="20"/>
        </w:rPr>
      </w:pPr>
    </w:p>
    <w:p w:rsidR="00EF4B60" w:rsidRPr="001735F9" w:rsidRDefault="00EF4B60" w:rsidP="00F51C52">
      <w:pPr>
        <w:pStyle w:val="Style24"/>
        <w:widowControl/>
        <w:spacing w:line="240" w:lineRule="exact"/>
        <w:rPr>
          <w:sz w:val="20"/>
          <w:szCs w:val="20"/>
        </w:rPr>
      </w:pPr>
    </w:p>
    <w:p w:rsidR="00EF4B60" w:rsidRPr="001735F9" w:rsidRDefault="00EF4B60" w:rsidP="00F51C52">
      <w:pPr>
        <w:pStyle w:val="Style24"/>
        <w:widowControl/>
        <w:spacing w:before="202"/>
        <w:rPr>
          <w:rStyle w:val="FontStyle104"/>
          <w:rFonts w:ascii="Times New Roman" w:hAnsi="Times New Roman" w:cs="Times New Roman"/>
        </w:rPr>
      </w:pPr>
      <w:r>
        <w:rPr>
          <w:rStyle w:val="FontStyle104"/>
          <w:rFonts w:ascii="Times New Roman" w:hAnsi="Times New Roman"/>
        </w:rPr>
        <w:t>LAUDO INAPELABLE</w:t>
      </w:r>
    </w:p>
    <w:p w:rsidR="00EF4B60" w:rsidRPr="001735F9" w:rsidRDefault="00EF4B60" w:rsidP="00F51C52">
      <w:pPr>
        <w:pStyle w:val="Style39"/>
        <w:widowControl/>
        <w:numPr>
          <w:ilvl w:val="0"/>
          <w:numId w:val="27"/>
        </w:numPr>
        <w:spacing w:before="221"/>
        <w:ind w:right="19"/>
        <w:rPr>
          <w:rStyle w:val="FontStyle91"/>
          <w:spacing w:val="20"/>
        </w:rPr>
      </w:pPr>
      <w:r>
        <w:rPr>
          <w:rStyle w:val="FontStyle84"/>
        </w:rPr>
        <w:t>Universal Settlements International Inc. (“Universal”) es una corporación de Ontario que llevaba a cabo negocios como compañía de servicios financieros en la industria de las liquidaciones de seguro de vida.</w:t>
      </w:r>
    </w:p>
    <w:p w:rsidR="00EF4B60" w:rsidRPr="001735F9" w:rsidRDefault="00EF4B60" w:rsidP="00F51C52">
      <w:pPr>
        <w:pStyle w:val="Style39"/>
        <w:widowControl/>
        <w:numPr>
          <w:ilvl w:val="0"/>
          <w:numId w:val="27"/>
        </w:numPr>
        <w:tabs>
          <w:tab w:val="left" w:pos="851"/>
        </w:tabs>
        <w:spacing w:before="230"/>
        <w:ind w:right="24"/>
        <w:rPr>
          <w:rStyle w:val="FontStyle84"/>
        </w:rPr>
      </w:pPr>
      <w:r>
        <w:rPr>
          <w:rStyle w:val="FontStyle84"/>
        </w:rPr>
        <w:t>A fines del 2006, los accionistas de Universal eran el Brokerwise Group Inc. (“Brokerwise”), 1508211 Ontario Inc. (“1508211”) y Martina Capital Corporation (“Martina”). Cada uno poseía un número igual de acciones en Universal. La relación estaba regida por un Acuerdo Unánime de Accionistas de fecha 5 de abril de 2002 (“AUA”).</w:t>
      </w:r>
    </w:p>
    <w:p w:rsidR="00EF4B60" w:rsidRPr="001735F9" w:rsidRDefault="00EF4B60" w:rsidP="00F51C52">
      <w:pPr>
        <w:pStyle w:val="Style39"/>
        <w:widowControl/>
        <w:numPr>
          <w:ilvl w:val="0"/>
          <w:numId w:val="27"/>
        </w:numPr>
        <w:tabs>
          <w:tab w:val="left" w:pos="851"/>
          <w:tab w:val="left" w:pos="1392"/>
        </w:tabs>
        <w:spacing w:before="226"/>
        <w:rPr>
          <w:rStyle w:val="FontStyle84"/>
        </w:rPr>
      </w:pPr>
      <w:r>
        <w:rPr>
          <w:rStyle w:val="FontStyle84"/>
        </w:rPr>
        <w:t>El único accionista de Brokerwise era Geoffrey Panos (“Panos”) y el de 1508211, Christopher Halas (“Halas”).</w:t>
      </w:r>
    </w:p>
    <w:p w:rsidR="00EF4B60" w:rsidRPr="001735F9" w:rsidRDefault="00EF4B60" w:rsidP="00F51C52">
      <w:pPr>
        <w:pStyle w:val="Style39"/>
        <w:widowControl/>
        <w:numPr>
          <w:ilvl w:val="0"/>
          <w:numId w:val="27"/>
        </w:numPr>
        <w:tabs>
          <w:tab w:val="left" w:pos="851"/>
          <w:tab w:val="left" w:pos="1392"/>
        </w:tabs>
        <w:spacing w:before="221" w:line="269" w:lineRule="exact"/>
        <w:ind w:right="34"/>
        <w:rPr>
          <w:rStyle w:val="FontStyle84"/>
        </w:rPr>
      </w:pPr>
      <w:r>
        <w:rPr>
          <w:rStyle w:val="FontStyle84"/>
        </w:rPr>
        <w:t>Los accionistas de Martina eran el Demandado, Antonio Duscio (“Duscio”) y su esposa Leanne.</w:t>
      </w:r>
    </w:p>
    <w:p w:rsidR="00EF4B60" w:rsidRPr="001735F9" w:rsidRDefault="00EF4B60" w:rsidP="00F51C52">
      <w:pPr>
        <w:pStyle w:val="Style39"/>
        <w:widowControl/>
        <w:numPr>
          <w:ilvl w:val="0"/>
          <w:numId w:val="27"/>
        </w:numPr>
        <w:tabs>
          <w:tab w:val="left" w:pos="851"/>
          <w:tab w:val="left" w:pos="1392"/>
        </w:tabs>
        <w:spacing w:before="221"/>
        <w:ind w:right="34"/>
        <w:rPr>
          <w:rStyle w:val="FontStyle84"/>
        </w:rPr>
      </w:pPr>
      <w:r>
        <w:rPr>
          <w:rStyle w:val="FontStyle84"/>
        </w:rPr>
        <w:t>Antes de noviembre de 2006, mientras que Panos y Halas prestaban servicios para Universal, Duscio tenía la facultad de sola firma para Universal y estaba a cargo de las operaciones diarias.</w:t>
      </w:r>
    </w:p>
    <w:p w:rsidR="00EF4B60" w:rsidRPr="001735F9" w:rsidRDefault="00EF4B60" w:rsidP="00F51C52">
      <w:pPr>
        <w:pStyle w:val="Style39"/>
        <w:widowControl/>
        <w:numPr>
          <w:ilvl w:val="0"/>
          <w:numId w:val="27"/>
        </w:numPr>
        <w:tabs>
          <w:tab w:val="left" w:pos="851"/>
          <w:tab w:val="left" w:pos="1392"/>
        </w:tabs>
        <w:spacing w:before="226" w:line="259" w:lineRule="exact"/>
        <w:ind w:right="38"/>
        <w:rPr>
          <w:rStyle w:val="FontStyle84"/>
        </w:rPr>
      </w:pPr>
      <w:r>
        <w:rPr>
          <w:rStyle w:val="FontStyle84"/>
        </w:rPr>
        <w:t xml:space="preserve">En una reunión celebrada el 28 de noviembre de 2006, Panos y Halas confrontaron a Duscio con su sospecha de que había usado su autoridad corporativa para malversar fondos de Universal con el fin de comprar una propiedad en el municipio de Puslinch, la cual registró en nombre de su esposa, Leanne Duscio. Esto fue seguido por una asamblea de accionistas en esa fecha en la que se aprobó una </w:t>
      </w:r>
      <w:r>
        <w:rPr>
          <w:rStyle w:val="FontStyle84"/>
        </w:rPr>
        <w:lastRenderedPageBreak/>
        <w:t>resolución por la que se revocaba a Duscio como funcionario de Universal y se ponía fin a su facultad de sola firma.</w:t>
      </w:r>
    </w:p>
    <w:p w:rsidR="00EF4B60" w:rsidRPr="001735F9" w:rsidRDefault="00EF4B60" w:rsidP="00F51C52">
      <w:pPr>
        <w:pStyle w:val="Style39"/>
        <w:widowControl/>
        <w:numPr>
          <w:ilvl w:val="0"/>
          <w:numId w:val="28"/>
        </w:numPr>
        <w:tabs>
          <w:tab w:val="left" w:pos="851"/>
          <w:tab w:val="left" w:pos="1387"/>
        </w:tabs>
        <w:spacing w:before="437" w:line="250" w:lineRule="exact"/>
        <w:rPr>
          <w:rStyle w:val="FontStyle84"/>
        </w:rPr>
      </w:pPr>
      <w:r>
        <w:rPr>
          <w:rStyle w:val="FontStyle84"/>
        </w:rPr>
        <w:t>El 30 de noviembre de 2006, Martina ejerció las disposiciones de compra-venta forzosas contenidas en el AUA ofreciendo comprar las acciones de Brokerwise y 1508211 por $1 millón cada una, o vender sus acciones por $1 millón.</w:t>
      </w:r>
    </w:p>
    <w:p w:rsidR="00EF4B60" w:rsidRPr="001735F9" w:rsidRDefault="00EF4B60" w:rsidP="00F51C52">
      <w:pPr>
        <w:pStyle w:val="Style39"/>
        <w:widowControl/>
        <w:numPr>
          <w:ilvl w:val="0"/>
          <w:numId w:val="28"/>
        </w:numPr>
        <w:tabs>
          <w:tab w:val="left" w:pos="851"/>
          <w:tab w:val="left" w:pos="1387"/>
        </w:tabs>
        <w:spacing w:before="245" w:line="259" w:lineRule="exact"/>
        <w:rPr>
          <w:rStyle w:val="FontStyle84"/>
        </w:rPr>
      </w:pPr>
      <w:r>
        <w:rPr>
          <w:rStyle w:val="FontStyle84"/>
        </w:rPr>
        <w:t>Esto llevó a que Brokerwise y 1508211 emitieran una Demanda en contra de Duscio por opresión y otro recurso en el Tribunal Superior de Justicia de Ontario el 6 de diciembre de 2006. Por Orden del Tribunal del 19 de diciembre de 2006, las cuestiones relativas a las disposiciones de compra venta en el AUA y el recurso complementario se suspendieron y se ordenó que se determinaran mediante arbitraje conforme a lo dispuesto en el AUA.</w:t>
      </w:r>
    </w:p>
    <w:p w:rsidR="00EF4B60" w:rsidRPr="001735F9" w:rsidRDefault="00EF4B60" w:rsidP="00F51C52">
      <w:pPr>
        <w:pStyle w:val="Style39"/>
        <w:widowControl/>
        <w:numPr>
          <w:ilvl w:val="0"/>
          <w:numId w:val="28"/>
        </w:numPr>
        <w:tabs>
          <w:tab w:val="left" w:pos="851"/>
          <w:tab w:val="left" w:pos="1387"/>
        </w:tabs>
        <w:spacing w:before="245" w:line="240" w:lineRule="auto"/>
        <w:rPr>
          <w:rStyle w:val="FontStyle84"/>
        </w:rPr>
      </w:pPr>
      <w:r>
        <w:rPr>
          <w:rStyle w:val="FontStyle84"/>
        </w:rPr>
        <w:t>En virtud de esta Orden, el 10 de enero de 2007 se celebró un Acuerdo de arbitraje, en virtud del cual se me designó como árbitro.</w:t>
      </w:r>
    </w:p>
    <w:p w:rsidR="00EF4B60" w:rsidRPr="001735F9" w:rsidRDefault="00EF4B60" w:rsidP="00F51C52">
      <w:pPr>
        <w:pStyle w:val="Style39"/>
        <w:widowControl/>
        <w:numPr>
          <w:ilvl w:val="0"/>
          <w:numId w:val="29"/>
        </w:numPr>
        <w:tabs>
          <w:tab w:val="left" w:pos="851"/>
          <w:tab w:val="left" w:pos="1397"/>
        </w:tabs>
        <w:spacing w:before="235" w:line="259" w:lineRule="exact"/>
        <w:ind w:right="43"/>
        <w:rPr>
          <w:rStyle w:val="FontStyle84"/>
        </w:rPr>
      </w:pPr>
      <w:r>
        <w:rPr>
          <w:rStyle w:val="FontStyle84"/>
        </w:rPr>
        <w:t>En cumplimiento de ello, en enero de 2007, se inició una petición para una serie de órdenes provisionales que dio lugar a que se emitiera un Laudo provisional de fecha 16 de enero de 2007.</w:t>
      </w:r>
    </w:p>
    <w:p w:rsidR="00EF4B60" w:rsidRPr="001735F9" w:rsidRDefault="00EF4B60" w:rsidP="00F51C52">
      <w:pPr>
        <w:pStyle w:val="Style39"/>
        <w:widowControl/>
        <w:numPr>
          <w:ilvl w:val="0"/>
          <w:numId w:val="29"/>
        </w:numPr>
        <w:tabs>
          <w:tab w:val="left" w:pos="851"/>
          <w:tab w:val="left" w:pos="1397"/>
        </w:tabs>
        <w:spacing w:before="230"/>
        <w:ind w:right="19"/>
        <w:rPr>
          <w:rStyle w:val="FontStyle84"/>
        </w:rPr>
      </w:pPr>
      <w:r>
        <w:rPr>
          <w:rStyle w:val="FontStyle84"/>
        </w:rPr>
        <w:t>En el Laudo provisional, se sostuvo que a primera vista Duscio había actuado en violación de las responsabilidades fiduciarias que le debía tanto a Universal como a los demás accionistas y al hacer esto había actuado de manera opresiva.</w:t>
      </w:r>
    </w:p>
    <w:p w:rsidR="00EF4B60" w:rsidRPr="001735F9" w:rsidRDefault="00EF4B60" w:rsidP="00F51C52">
      <w:pPr>
        <w:pStyle w:val="Style39"/>
        <w:widowControl/>
        <w:numPr>
          <w:ilvl w:val="0"/>
          <w:numId w:val="29"/>
        </w:numPr>
        <w:tabs>
          <w:tab w:val="left" w:pos="851"/>
          <w:tab w:val="left" w:pos="1397"/>
        </w:tabs>
        <w:spacing w:before="226"/>
        <w:ind w:right="19"/>
        <w:rPr>
          <w:rStyle w:val="FontStyle84"/>
        </w:rPr>
      </w:pPr>
      <w:r>
        <w:rPr>
          <w:rStyle w:val="FontStyle84"/>
        </w:rPr>
        <w:t>Además, teniendo en cuenta la conducta de Duscio, se determinó que los Demandantes tendrían un período de tiempo prolongado en virtud de las disposiciones de compra venta del AUA para determinar si serían compradores o vendedores, cuyas razones se establecen en dicho Laudo provisional.</w:t>
      </w:r>
    </w:p>
    <w:p w:rsidR="00EF4B60" w:rsidRPr="001735F9" w:rsidRDefault="00EF4B60" w:rsidP="00F51C52">
      <w:pPr>
        <w:pStyle w:val="Style39"/>
        <w:widowControl/>
        <w:numPr>
          <w:ilvl w:val="0"/>
          <w:numId w:val="29"/>
        </w:numPr>
        <w:tabs>
          <w:tab w:val="left" w:pos="851"/>
          <w:tab w:val="left" w:pos="1397"/>
        </w:tabs>
        <w:spacing w:before="216"/>
        <w:ind w:right="43"/>
        <w:rPr>
          <w:rStyle w:val="FontStyle84"/>
        </w:rPr>
      </w:pPr>
      <w:r>
        <w:rPr>
          <w:rStyle w:val="FontStyle84"/>
        </w:rPr>
        <w:t>El artículo 16.4 del AUA establece que si el vendedor, y su ejecutivo principal, debe dinero a Universal, el comprador de las acciones puede liquidar dicha deuda pagándola a Universal y deduciéndola del precio de compra. La información en la petición revelaba que Martina y Duscio, en virtud del incumplimiento de sus responsabilidades fiduciarias para con Universal, le debían dinero a Universal. Sin embargo, no se sabían los detalles del monto de dinero que le adeudaban a Universal ya que en ese momento no se conocía el grado de la conducta impropia de Duscio. En consecuencia, se estableció que si los Demandantes eran compradores de las acciones de Martina, el precio de compra podría pagarse a una cuenta de depósito en garantía para que, cuando se establecieran los detalles, hubieran fondos para liquidar dicha deuda. Después de que los Demandantes se convirtieron en compradores, las partes celebraron un contrato de depósito en garantía para este fin, el cual rige el funcionamiento de la cuenta de depósito en garantía.</w:t>
      </w:r>
    </w:p>
    <w:p w:rsidR="00EF4B60" w:rsidRPr="001735F9" w:rsidRDefault="00EF4B60" w:rsidP="00F51C52">
      <w:pPr>
        <w:pStyle w:val="Style39"/>
        <w:widowControl/>
        <w:numPr>
          <w:ilvl w:val="0"/>
          <w:numId w:val="29"/>
        </w:numPr>
        <w:tabs>
          <w:tab w:val="left" w:pos="851"/>
          <w:tab w:val="left" w:pos="1397"/>
        </w:tabs>
        <w:spacing w:before="221"/>
        <w:ind w:right="34"/>
        <w:rPr>
          <w:rStyle w:val="FontStyle84"/>
        </w:rPr>
      </w:pPr>
      <w:r>
        <w:rPr>
          <w:rStyle w:val="FontStyle84"/>
        </w:rPr>
        <w:t>Hacia fines del 2007, los Demandados presentaron una solicitud de pago a partir del Fondo de depósito en garantía sobre la base de necesidades financieras. En base a la información presentada por los Demandados, consideré que habían cumplido los requisitos establecidos en el caso Waxman para el pago a partir de los fondos. El resultado fue que se pagó un total de $290,000 dólares a partir del Fondo de depósito en garantía por Órdenes del 16 de noviembre de 2007 y 20 de marzo de 2008.</w:t>
      </w:r>
    </w:p>
    <w:p w:rsidR="00EF4B60" w:rsidRPr="001735F9" w:rsidRDefault="00EF4B60" w:rsidP="00F51C52">
      <w:pPr>
        <w:pStyle w:val="Style39"/>
        <w:widowControl/>
        <w:numPr>
          <w:ilvl w:val="0"/>
          <w:numId w:val="29"/>
        </w:numPr>
        <w:tabs>
          <w:tab w:val="left" w:pos="851"/>
          <w:tab w:val="left" w:pos="1402"/>
        </w:tabs>
        <w:spacing w:before="221" w:line="259" w:lineRule="exact"/>
        <w:ind w:right="67"/>
        <w:rPr>
          <w:rStyle w:val="FontStyle84"/>
        </w:rPr>
      </w:pPr>
      <w:r>
        <w:rPr>
          <w:rStyle w:val="FontStyle84"/>
        </w:rPr>
        <w:t xml:space="preserve">Poco después de la segunda orden que permitió el pago del 20 de marzo de 2008, los Demandantes presentaron una petición para exigir que los Demandados devolvieran los $290,000 alegando que la evidencia presentada por los Demandados para respaldar las Órdenes de pago no se </w:t>
      </w:r>
      <w:r>
        <w:rPr>
          <w:rStyle w:val="FontStyle84"/>
        </w:rPr>
        <w:lastRenderedPageBreak/>
        <w:t>basaba en datos objetivos. La petición fue impugnada enérgicamente por los Demandados y ésta no se sustentó sino hasta fines del 2008. El 16 de diciembre de 2008, emití una Orden exigiendo que los Demandados pagaran los $290,000 a la cuenta de depósito en garantía basándome en la conclusión de que los Demandados no habían divulgado completamente la información presentada en apoyo de la petición.</w:t>
      </w:r>
    </w:p>
    <w:p w:rsidR="00EF4B60" w:rsidRPr="001735F9" w:rsidRDefault="00EF4B60" w:rsidP="00F51C52">
      <w:pPr>
        <w:pStyle w:val="Style39"/>
        <w:widowControl/>
        <w:numPr>
          <w:ilvl w:val="0"/>
          <w:numId w:val="29"/>
        </w:numPr>
        <w:tabs>
          <w:tab w:val="left" w:pos="851"/>
          <w:tab w:val="left" w:pos="1402"/>
        </w:tabs>
        <w:spacing w:before="221"/>
        <w:ind w:right="34"/>
        <w:rPr>
          <w:rStyle w:val="FontStyle84"/>
        </w:rPr>
      </w:pPr>
      <w:r>
        <w:rPr>
          <w:rStyle w:val="FontStyle84"/>
        </w:rPr>
        <w:t>Entre el momento en que se presentó la Notificación de Petición para la devolución de los fondos a la cuenta de depósito en garantía y la decisión del 16 de diciembre de 2008, ambos Demandados emprendieron voluntariamente procedimientos que dieron lugar a su declaración en quiebra. En cada una de las quiebras, los Demandantes presentaron una solicitud para que se levantara la suspensión automática del procedimiento, de manera que este procedimiento de Arbitraje siguiera no obstante las quiebras.</w:t>
      </w:r>
    </w:p>
    <w:p w:rsidR="00EF4B60" w:rsidRPr="001735F9" w:rsidRDefault="00EF4B60" w:rsidP="00F51C52">
      <w:pPr>
        <w:pStyle w:val="Style39"/>
        <w:widowControl/>
        <w:numPr>
          <w:ilvl w:val="0"/>
          <w:numId w:val="30"/>
        </w:numPr>
        <w:tabs>
          <w:tab w:val="left" w:pos="851"/>
          <w:tab w:val="left" w:pos="1402"/>
        </w:tabs>
        <w:spacing w:before="235" w:line="259" w:lineRule="exact"/>
        <w:ind w:right="38"/>
        <w:rPr>
          <w:rStyle w:val="FontStyle84"/>
        </w:rPr>
      </w:pPr>
      <w:r>
        <w:rPr>
          <w:rStyle w:val="FontStyle84"/>
        </w:rPr>
        <w:t>En la petición para el pago al fondo de depósito en garantía, no se ordenó sobre los costos sino hasta casi un año después en una decisión de fecha 1 de diciembre de 2009, en la que se ordenaba a los Demandados que pagaran a los Demandantes costos por un monto de $299,989.96 más intereses.</w:t>
      </w:r>
    </w:p>
    <w:p w:rsidR="00EF4B60" w:rsidRPr="001735F9" w:rsidRDefault="00EF4B60" w:rsidP="00F51C52">
      <w:pPr>
        <w:pStyle w:val="Style39"/>
        <w:widowControl/>
        <w:numPr>
          <w:ilvl w:val="0"/>
          <w:numId w:val="30"/>
        </w:numPr>
        <w:tabs>
          <w:tab w:val="left" w:pos="851"/>
          <w:tab w:val="left" w:pos="1402"/>
        </w:tabs>
        <w:spacing w:before="226"/>
        <w:ind w:right="29"/>
        <w:rPr>
          <w:rStyle w:val="FontStyle84"/>
        </w:rPr>
      </w:pPr>
      <w:r>
        <w:rPr>
          <w:rStyle w:val="FontStyle84"/>
        </w:rPr>
        <w:t xml:space="preserve">Esto fue seguido por una Notificación de petición de fecha 28 de enero de 2010 en donde los Demandantes solicitaban una Orden de conformidad con las Reglas 60.12 y 90.01(2) de las </w:t>
      </w:r>
      <w:r>
        <w:rPr>
          <w:rStyle w:val="FontStyle88"/>
        </w:rPr>
        <w:t xml:space="preserve">Reglas de Procedimiento Civil. </w:t>
      </w:r>
      <w:r>
        <w:rPr>
          <w:rStyle w:val="FontStyle84"/>
        </w:rPr>
        <w:t xml:space="preserve">En el marco del Acuerdo de arbitraje, las </w:t>
      </w:r>
      <w:r>
        <w:rPr>
          <w:rStyle w:val="FontStyle88"/>
        </w:rPr>
        <w:t xml:space="preserve">Reglas de Procedimiento Civil </w:t>
      </w:r>
      <w:r>
        <w:rPr>
          <w:rStyle w:val="FontStyle84"/>
        </w:rPr>
        <w:t>se aplican a este Arbitraje.</w:t>
      </w:r>
    </w:p>
    <w:p w:rsidR="00EF4B60" w:rsidRPr="001735F9" w:rsidRDefault="00EF4B60" w:rsidP="00F51C52">
      <w:pPr>
        <w:pStyle w:val="Style39"/>
        <w:widowControl/>
        <w:numPr>
          <w:ilvl w:val="0"/>
          <w:numId w:val="30"/>
        </w:numPr>
        <w:tabs>
          <w:tab w:val="left" w:pos="851"/>
          <w:tab w:val="left" w:pos="1402"/>
        </w:tabs>
        <w:spacing w:before="226"/>
        <w:rPr>
          <w:rStyle w:val="FontStyle84"/>
        </w:rPr>
      </w:pPr>
      <w:r>
        <w:rPr>
          <w:rStyle w:val="FontStyle84"/>
        </w:rPr>
        <w:t>De conformidad con las Reglas 60.12, los Demandantes solicitaron que se suprimiera el Pliego de defensa de los Demandados por no cumplir con las Órdenes interlocutorias de fecha 16 de diciembre de 2008 y 1 de diciembre de 2009. En una decisión de fecha 16 de marzo de 2010, hice uso de mi facultad discrecional en virtud de la Regla 60.12 y ordené que se suprimiera el Pliego de defensa de los Demandados por no haber cumplido con las dos Órdenes interlocutorias. Además ordené que, al haber emitido la Orden conforme a la Regla 60.12, también se debería emitir una orden en virtud de la Regla 19.01(2) señalando que los Demandados estaban en incumplimiento.</w:t>
      </w:r>
    </w:p>
    <w:p w:rsidR="00EF4B60" w:rsidRPr="001735F9" w:rsidRDefault="00EF4B60" w:rsidP="00F51C52">
      <w:pPr>
        <w:pStyle w:val="Style39"/>
        <w:widowControl/>
        <w:numPr>
          <w:ilvl w:val="0"/>
          <w:numId w:val="30"/>
        </w:numPr>
        <w:tabs>
          <w:tab w:val="left" w:pos="851"/>
          <w:tab w:val="left" w:pos="1402"/>
        </w:tabs>
        <w:spacing w:before="216"/>
        <w:ind w:right="5"/>
        <w:rPr>
          <w:rStyle w:val="FontStyle84"/>
        </w:rPr>
      </w:pPr>
      <w:r>
        <w:rPr>
          <w:rStyle w:val="FontStyle84"/>
        </w:rPr>
        <w:t xml:space="preserve">Como resultado de la Orden del 28 de enero de 2010, los Demandantes presentaron una petición para sentencia. Al hacer esto, los Demandantes se basaron en la Regla </w:t>
      </w:r>
      <w:proofErr w:type="gramStart"/>
      <w:r>
        <w:rPr>
          <w:rStyle w:val="FontStyle84"/>
        </w:rPr>
        <w:t>19.02(</w:t>
      </w:r>
      <w:proofErr w:type="gramEnd"/>
      <w:r>
        <w:rPr>
          <w:rStyle w:val="FontStyle84"/>
        </w:rPr>
        <w:t>1), que establece que se considera que un demandado que ha sido declarado en incumplimiento admite la veracidad de las alegaciones de hechos presentadas en la Demanda. Además del reconocimiento tácito de los hechos, Panos y Halas prestaron declaraciones, las que estuvieron respaldadas por una extensa documentación que cumplía con los requisitos de la Regla 19.06. Además, se llamó a declarar a Edward White de White &amp; Associates Inc., el síndico de la quiebra de Martina. Se le interrogó sobre si él estaba presentando alguna demanda en su calidad de fideicomisario de los fondos en la cuenta de depósito en garantía ya que dichos fondos representaban el dinero de la compra de las acciones de Universal sujeto a las disposiciones en mi Orden del 17 de enero de 2007. Su declaración fue que él consideraba los fondos en la cuenta de depósito en garantía como dinero de fideicomiso en la medida en que se requería para pagar la deuda de Martina a Universal. Declaró que como síndico no tenía ningún interés en el fondo de depósito en garantía a menos que yo dispusiera que una parte de éste debía pagarse a Martina.</w:t>
      </w:r>
    </w:p>
    <w:p w:rsidR="00EF4B60" w:rsidRPr="001735F9" w:rsidRDefault="00EF4B60" w:rsidP="00F51C52">
      <w:pPr>
        <w:pStyle w:val="Style39"/>
        <w:widowControl/>
        <w:numPr>
          <w:ilvl w:val="0"/>
          <w:numId w:val="30"/>
        </w:numPr>
        <w:tabs>
          <w:tab w:val="left" w:pos="851"/>
          <w:tab w:val="left" w:pos="1402"/>
        </w:tabs>
        <w:spacing w:before="206" w:line="269" w:lineRule="exact"/>
        <w:ind w:right="34"/>
        <w:rPr>
          <w:rStyle w:val="FontStyle84"/>
        </w:rPr>
      </w:pPr>
      <w:r>
        <w:rPr>
          <w:rStyle w:val="FontStyle84"/>
        </w:rPr>
        <w:t>La declaración de Panas y Halas junto con la documentación que se anexó a la petición para sentencia estableció claramente que Duscio, a veces junto con Martina, había abusado de su responsabilidad fiduciaria para con Universal y por lo tanto convirtió dinero de Universal de manera fraudulenta.</w:t>
      </w:r>
    </w:p>
    <w:p w:rsidR="00EF4B60" w:rsidRPr="001735F9" w:rsidRDefault="00EF4B60" w:rsidP="00F51C52">
      <w:pPr>
        <w:pStyle w:val="Style39"/>
        <w:widowControl/>
        <w:numPr>
          <w:ilvl w:val="0"/>
          <w:numId w:val="30"/>
        </w:numPr>
        <w:tabs>
          <w:tab w:val="left" w:pos="851"/>
          <w:tab w:val="left" w:pos="1402"/>
        </w:tabs>
        <w:spacing w:before="211" w:line="259" w:lineRule="exact"/>
        <w:ind w:right="43"/>
        <w:rPr>
          <w:rStyle w:val="FontStyle84"/>
        </w:rPr>
      </w:pPr>
      <w:r>
        <w:rPr>
          <w:rStyle w:val="FontStyle84"/>
        </w:rPr>
        <w:lastRenderedPageBreak/>
        <w:t>Había pruebas de que Duscio y Martina habían utilizado este dinero en conexión con una propiedad comercial situada en Queen Street, en Kitchener, actualmente registrada a nombre de Martina, una propiedad residencial en Kitchener y una propiedad en Puslinch en la que se estaba construyendo un domicilio conyugal muy lujoso en el que Duscio y su esposa, Leanne, residen actualmente. No puede caber ninguna duda de que gran parte del dinero que Duscio convirtió de Universal de manera fraudulenta se utilizó en relación con estas propiedades, tanto para adquirirlas como para hacer mejoras. Además, Duscio desvió sin razón parte de estos fondos a varios de sus familiares.</w:t>
      </w:r>
    </w:p>
    <w:p w:rsidR="00EF4B60" w:rsidRPr="001735F9" w:rsidRDefault="00EF4B60" w:rsidP="00F51C52">
      <w:pPr>
        <w:pStyle w:val="Style39"/>
        <w:widowControl/>
        <w:numPr>
          <w:ilvl w:val="0"/>
          <w:numId w:val="31"/>
        </w:numPr>
        <w:tabs>
          <w:tab w:val="left" w:pos="851"/>
          <w:tab w:val="left" w:pos="1392"/>
        </w:tabs>
        <w:spacing w:before="226" w:line="259" w:lineRule="exact"/>
        <w:ind w:right="29"/>
        <w:rPr>
          <w:rStyle w:val="FontStyle84"/>
        </w:rPr>
      </w:pPr>
      <w:r>
        <w:rPr>
          <w:rStyle w:val="FontStyle84"/>
        </w:rPr>
        <w:t>La Demanda doblemente enmendada es muy detallada en sus alegaciones relativas a la conducta fraudulenta de Duscio y los daños que Universal ha sufrido por dicha razón, todas las cuales se consideran como admitidas en virtud del Pliego de defensa que se suprimió.</w:t>
      </w:r>
    </w:p>
    <w:p w:rsidR="00EF4B60" w:rsidRPr="001735F9" w:rsidRDefault="00EF4B60" w:rsidP="00F51C52">
      <w:pPr>
        <w:pStyle w:val="Style39"/>
        <w:widowControl/>
        <w:numPr>
          <w:ilvl w:val="0"/>
          <w:numId w:val="31"/>
        </w:numPr>
        <w:tabs>
          <w:tab w:val="left" w:pos="851"/>
          <w:tab w:val="left" w:pos="1392"/>
        </w:tabs>
        <w:spacing w:before="240" w:line="259" w:lineRule="exact"/>
        <w:ind w:right="34"/>
        <w:rPr>
          <w:rStyle w:val="FontStyle84"/>
        </w:rPr>
      </w:pPr>
      <w:r>
        <w:rPr>
          <w:rStyle w:val="FontStyle84"/>
        </w:rPr>
        <w:t>Además de los daños y perjuicios que exige Universal, también pide que se concedan ciertas declaraciones, se emitan Órdenes que permitan rastrear los fondos y que se concedan fideicomisos impuestos por la ley sobre los fondos malversados.</w:t>
      </w:r>
    </w:p>
    <w:p w:rsidR="00EF4B60" w:rsidRPr="001735F9" w:rsidRDefault="00EF4B60" w:rsidP="00F51C52">
      <w:pPr>
        <w:pStyle w:val="Style39"/>
        <w:widowControl/>
        <w:numPr>
          <w:ilvl w:val="0"/>
          <w:numId w:val="31"/>
        </w:numPr>
        <w:tabs>
          <w:tab w:val="left" w:pos="851"/>
          <w:tab w:val="left" w:pos="1392"/>
        </w:tabs>
        <w:spacing w:before="235"/>
        <w:ind w:right="24"/>
        <w:rPr>
          <w:rStyle w:val="FontStyle84"/>
        </w:rPr>
      </w:pPr>
      <w:r>
        <w:rPr>
          <w:rStyle w:val="FontStyle84"/>
        </w:rPr>
        <w:t xml:space="preserve">Dado que estoy convencido de que se ha cumplido con los requisitos de un fideicomiso impuesto por la ley establecidos en el caso </w:t>
      </w:r>
      <w:r>
        <w:rPr>
          <w:rStyle w:val="FontStyle88"/>
        </w:rPr>
        <w:t xml:space="preserve">Korkontzilas et al. </w:t>
      </w:r>
      <w:r>
        <w:rPr>
          <w:rStyle w:val="FontStyle84"/>
        </w:rPr>
        <w:t xml:space="preserve">contra </w:t>
      </w:r>
      <w:r>
        <w:rPr>
          <w:rStyle w:val="FontStyle88"/>
        </w:rPr>
        <w:t xml:space="preserve">Soulos, </w:t>
      </w:r>
      <w:r>
        <w:rPr>
          <w:rStyle w:val="FontStyle84"/>
        </w:rPr>
        <w:t xml:space="preserve">[1997] 2 Boletín del Tribunal Supremo 217, concedo el recurso solicitado en los párrafos 103 y 104 de la Demanda doblemente enmendada. En ella, los Demandantes solicitan un fideicomiso impuesto por la ley sobre los fondos malversados a favor de Universal y el derecho de Universal para rastrear los fondos malversados entre los activos, bienes e intereses de los Demandados. Además, se concede a Universal una orden de rastreo en virtud del régimen del </w:t>
      </w:r>
      <w:r>
        <w:rPr>
          <w:rStyle w:val="FontStyle84"/>
          <w:i/>
        </w:rPr>
        <w:t>equity</w:t>
      </w:r>
      <w:r>
        <w:rPr>
          <w:rStyle w:val="FontStyle84"/>
        </w:rPr>
        <w:t xml:space="preserve"> para recuperar todos los activos que están actualmente o estuvieron con anterioridad en posesión de los Demandados y que fueron adquiridos directa o indirectamente con los fondos malversados.</w:t>
      </w:r>
    </w:p>
    <w:p w:rsidR="00EF4B60" w:rsidRPr="001735F9" w:rsidRDefault="00EF4B60" w:rsidP="00F51C52">
      <w:pPr>
        <w:pStyle w:val="Style39"/>
        <w:widowControl/>
        <w:numPr>
          <w:ilvl w:val="0"/>
          <w:numId w:val="31"/>
        </w:numPr>
        <w:tabs>
          <w:tab w:val="left" w:pos="851"/>
          <w:tab w:val="left" w:pos="1392"/>
        </w:tabs>
        <w:spacing w:before="226"/>
        <w:ind w:right="53"/>
        <w:rPr>
          <w:rStyle w:val="FontStyle84"/>
        </w:rPr>
      </w:pPr>
      <w:r>
        <w:rPr>
          <w:rStyle w:val="FontStyle84"/>
        </w:rPr>
        <w:t>En la medida en que los Demandados utilizaron los fondos malversados en relación con las tres propiedades descritas en el párrafo 1(h) de la Demanda doblemente enmendada que figura en el Anexo A del presente, ordeno que los Demandantes tengan fideicomisos impuestos por la ley sobre dichas propiedades y que los Demandados se abstengan de transferir, gravar, hipotecar o tratar las propiedades de otra manera ya sea directa o indirectamente.</w:t>
      </w:r>
    </w:p>
    <w:p w:rsidR="00EF4B60" w:rsidRPr="001735F9" w:rsidRDefault="00EF4B60" w:rsidP="00F51C52">
      <w:pPr>
        <w:pStyle w:val="Style39"/>
        <w:widowControl/>
        <w:numPr>
          <w:ilvl w:val="0"/>
          <w:numId w:val="31"/>
        </w:numPr>
        <w:tabs>
          <w:tab w:val="left" w:pos="851"/>
          <w:tab w:val="left" w:pos="1392"/>
        </w:tabs>
        <w:spacing w:before="221"/>
        <w:ind w:right="29"/>
        <w:rPr>
          <w:rStyle w:val="FontStyle84"/>
        </w:rPr>
      </w:pPr>
      <w:r>
        <w:rPr>
          <w:rStyle w:val="FontStyle84"/>
        </w:rPr>
        <w:t>En cuanto a los daños y perjuicios sufridos por Universal con motivo de la malversación fraudulenta, concedo dichos daños y perjuicios a Universal contra los Demandados por el monto de $5</w:t>
      </w:r>
      <w:proofErr w:type="gramStart"/>
      <w:r>
        <w:rPr>
          <w:rStyle w:val="FontStyle84"/>
        </w:rPr>
        <w:t>,511,160.85</w:t>
      </w:r>
      <w:proofErr w:type="gramEnd"/>
      <w:r>
        <w:rPr>
          <w:rStyle w:val="FontStyle84"/>
        </w:rPr>
        <w:t xml:space="preserve"> más los intereses pre-juicio de $673,343.06, por un total de $6,184,506.91 según lo establecido en el Anexo B de la Demanda doblemente enmendada.</w:t>
      </w:r>
    </w:p>
    <w:p w:rsidR="00EF4B60" w:rsidRPr="001735F9" w:rsidRDefault="00EF4B60" w:rsidP="00F51C52">
      <w:pPr>
        <w:pStyle w:val="Style39"/>
        <w:widowControl/>
        <w:numPr>
          <w:ilvl w:val="0"/>
          <w:numId w:val="31"/>
        </w:numPr>
        <w:tabs>
          <w:tab w:val="left" w:pos="851"/>
          <w:tab w:val="left" w:pos="1392"/>
        </w:tabs>
        <w:spacing w:before="226"/>
        <w:ind w:right="67"/>
        <w:rPr>
          <w:rStyle w:val="FontStyle84"/>
        </w:rPr>
      </w:pPr>
      <w:r>
        <w:rPr>
          <w:rStyle w:val="FontStyle84"/>
        </w:rPr>
        <w:t>De conformidad con el Contrato de depósito en garantía, instruyo al fideicomisario en virtud de la cuenta de depósito en garantía que pague a Universal el monto total que se encuentra actualmente en el fondo de depósito en garantía ya que la suma de dinero que Duscio y Martina adeudan a Universal supera con creces cualquier monto en dicha cuenta de depósito en garantía.</w:t>
      </w:r>
    </w:p>
    <w:p w:rsidR="00EF4B60" w:rsidRPr="001735F9" w:rsidRDefault="00EF4B60" w:rsidP="00F51C52">
      <w:pPr>
        <w:pStyle w:val="Style39"/>
        <w:widowControl/>
        <w:numPr>
          <w:ilvl w:val="0"/>
          <w:numId w:val="31"/>
        </w:numPr>
        <w:tabs>
          <w:tab w:val="left" w:pos="851"/>
          <w:tab w:val="left" w:pos="1392"/>
        </w:tabs>
        <w:spacing w:before="226"/>
        <w:ind w:right="72"/>
        <w:rPr>
          <w:rStyle w:val="FontStyle84"/>
        </w:rPr>
      </w:pPr>
      <w:r>
        <w:rPr>
          <w:rStyle w:val="FontStyle84"/>
        </w:rPr>
        <w:t>Además, los Demandantes obtendrán los costos contra los Demandados en base a indemnización sustancial. Evaluaré dichos costos en el plazo de 30 días a menos que se indique lo contrario.</w:t>
      </w:r>
    </w:p>
    <w:p w:rsidR="00EF4B60" w:rsidRPr="001735F9" w:rsidRDefault="00EF4B60" w:rsidP="00F51C52">
      <w:pPr>
        <w:pStyle w:val="Style9"/>
        <w:widowControl/>
        <w:tabs>
          <w:tab w:val="left" w:pos="851"/>
        </w:tabs>
        <w:spacing w:line="240" w:lineRule="exact"/>
        <w:rPr>
          <w:sz w:val="20"/>
          <w:szCs w:val="20"/>
        </w:rPr>
      </w:pPr>
    </w:p>
    <w:p w:rsidR="00EF4B60" w:rsidRPr="001735F9" w:rsidRDefault="00EF4B60" w:rsidP="00F51C52">
      <w:pPr>
        <w:pStyle w:val="Style9"/>
        <w:widowControl/>
        <w:spacing w:line="240" w:lineRule="exact"/>
        <w:rPr>
          <w:sz w:val="20"/>
          <w:szCs w:val="20"/>
        </w:rPr>
      </w:pPr>
    </w:p>
    <w:p w:rsidR="00EF4B60" w:rsidRPr="001735F9" w:rsidRDefault="00EF4B60" w:rsidP="00F51C52">
      <w:pPr>
        <w:pStyle w:val="Style9"/>
        <w:widowControl/>
        <w:spacing w:before="192"/>
        <w:rPr>
          <w:rStyle w:val="FontStyle84"/>
        </w:rPr>
      </w:pPr>
      <w:r>
        <w:rPr>
          <w:rStyle w:val="FontStyle84"/>
        </w:rPr>
        <w:t xml:space="preserve">Con fecha </w:t>
      </w:r>
      <w:r>
        <w:rPr>
          <w:rStyle w:val="FontStyle83"/>
          <w:sz w:val="28"/>
          <w:u w:val="single"/>
        </w:rPr>
        <w:t>23</w:t>
      </w:r>
      <w:r>
        <w:rPr>
          <w:rStyle w:val="FontStyle84"/>
        </w:rPr>
        <w:t xml:space="preserve"> de agosto de 2010.</w:t>
      </w:r>
    </w:p>
    <w:p w:rsidR="00EF4B60" w:rsidRPr="001735F9" w:rsidRDefault="00EF4B60" w:rsidP="00F51C52">
      <w:pPr>
        <w:widowControl/>
        <w:spacing w:before="91"/>
        <w:ind w:left="5333"/>
        <w:rPr>
          <w:sz w:val="22"/>
          <w:szCs w:val="22"/>
          <w:u w:val="single"/>
        </w:rPr>
      </w:pPr>
      <w:r>
        <w:rPr>
          <w:sz w:val="22"/>
          <w:u w:val="single"/>
        </w:rPr>
        <w:t>(</w:t>
      </w:r>
      <w:proofErr w:type="gramStart"/>
      <w:r>
        <w:rPr>
          <w:sz w:val="22"/>
          <w:u w:val="single"/>
        </w:rPr>
        <w:t>firma</w:t>
      </w:r>
      <w:proofErr w:type="gramEnd"/>
      <w:r>
        <w:rPr>
          <w:sz w:val="22"/>
          <w:u w:val="single"/>
        </w:rPr>
        <w:t xml:space="preserve"> ilegible)</w:t>
      </w:r>
    </w:p>
    <w:p w:rsidR="00EF4B60" w:rsidRDefault="00EF4B60" w:rsidP="00F51C52">
      <w:pPr>
        <w:pStyle w:val="Style31"/>
        <w:widowControl/>
        <w:jc w:val="both"/>
        <w:sectPr w:rsidR="00EF4B60" w:rsidSect="00915E8A">
          <w:headerReference w:type="default" r:id="rId16"/>
          <w:headerReference w:type="first" r:id="rId17"/>
          <w:pgSz w:w="12242" w:h="15842" w:code="1"/>
          <w:pgMar w:top="1440" w:right="1440" w:bottom="1440" w:left="1440" w:header="720" w:footer="720" w:gutter="0"/>
          <w:pgNumType w:fmt="numberInDash" w:start="1"/>
          <w:cols w:space="60"/>
          <w:noEndnote/>
          <w:titlePg/>
        </w:sectPr>
      </w:pPr>
    </w:p>
    <w:p w:rsidR="00EF4B60" w:rsidRPr="001735F9" w:rsidRDefault="00EF4B60" w:rsidP="00F51C52">
      <w:pPr>
        <w:pStyle w:val="Style31"/>
        <w:widowControl/>
        <w:jc w:val="both"/>
        <w:rPr>
          <w:rStyle w:val="FontStyle103"/>
          <w:rFonts w:ascii="Times New Roman" w:hAnsi="Times New Roman" w:cs="Times New Roman"/>
          <w:spacing w:val="50"/>
        </w:rPr>
      </w:pPr>
    </w:p>
    <w:p w:rsidR="00EF4B60" w:rsidRPr="003E2931" w:rsidRDefault="00EF4B60" w:rsidP="00F51C52">
      <w:pPr>
        <w:pStyle w:val="Style31"/>
        <w:widowControl/>
        <w:spacing w:line="240" w:lineRule="exact"/>
        <w:jc w:val="center"/>
        <w:rPr>
          <w:b/>
          <w:sz w:val="22"/>
          <w:szCs w:val="22"/>
        </w:rPr>
      </w:pPr>
      <w:r>
        <w:rPr>
          <w:b/>
          <w:sz w:val="22"/>
        </w:rPr>
        <w:t>EN EL ASUNTO DE UN ARBITRAJE</w:t>
      </w:r>
    </w:p>
    <w:p w:rsidR="00EF4B60" w:rsidRPr="003E2931" w:rsidRDefault="00EF4B60" w:rsidP="00F51C52">
      <w:pPr>
        <w:pStyle w:val="Style31"/>
        <w:widowControl/>
        <w:spacing w:line="240" w:lineRule="exact"/>
        <w:jc w:val="center"/>
        <w:rPr>
          <w:b/>
          <w:sz w:val="22"/>
          <w:szCs w:val="22"/>
        </w:rPr>
      </w:pPr>
    </w:p>
    <w:p w:rsidR="00EF4B60" w:rsidRPr="003E2931" w:rsidRDefault="00EF4B60" w:rsidP="00F51C52">
      <w:pPr>
        <w:pStyle w:val="Style31"/>
        <w:widowControl/>
        <w:jc w:val="center"/>
        <w:rPr>
          <w:b/>
          <w:sz w:val="22"/>
          <w:szCs w:val="22"/>
        </w:rPr>
      </w:pPr>
    </w:p>
    <w:p w:rsidR="00EF4B60" w:rsidRPr="003E2931" w:rsidRDefault="00EF4B60" w:rsidP="00F51C52">
      <w:pPr>
        <w:pStyle w:val="Style31"/>
        <w:widowControl/>
        <w:spacing w:line="240" w:lineRule="exact"/>
        <w:jc w:val="center"/>
        <w:rPr>
          <w:b/>
          <w:sz w:val="22"/>
          <w:szCs w:val="22"/>
        </w:rPr>
      </w:pPr>
    </w:p>
    <w:p w:rsidR="00EF4B60" w:rsidRPr="008D7DDC" w:rsidRDefault="00EF4B60" w:rsidP="00F51C52">
      <w:pPr>
        <w:pStyle w:val="Style31"/>
        <w:widowControl/>
        <w:spacing w:before="120"/>
        <w:jc w:val="both"/>
        <w:rPr>
          <w:rStyle w:val="FontStyle103"/>
          <w:rFonts w:ascii="Times New Roman" w:hAnsi="Times New Roman" w:cs="Times New Roman"/>
          <w:spacing w:val="50"/>
          <w:lang w:val="fr-CA"/>
        </w:rPr>
      </w:pPr>
      <w:r w:rsidRPr="008D7DDC">
        <w:rPr>
          <w:rStyle w:val="FontStyle103"/>
          <w:rFonts w:ascii="Times New Roman" w:hAnsi="Times New Roman"/>
          <w:spacing w:val="50"/>
          <w:lang w:val="fr-CA"/>
        </w:rPr>
        <w:t>ENTRE:</w:t>
      </w:r>
    </w:p>
    <w:p w:rsidR="00EF4B60" w:rsidRPr="008D7DDC" w:rsidRDefault="00EF4B60" w:rsidP="00F51C52">
      <w:pPr>
        <w:pStyle w:val="Style54"/>
        <w:widowControl/>
        <w:spacing w:line="240" w:lineRule="exact"/>
        <w:ind w:left="1224" w:right="960"/>
        <w:rPr>
          <w:b/>
          <w:sz w:val="22"/>
          <w:szCs w:val="22"/>
          <w:lang w:val="fr-CA"/>
        </w:rPr>
      </w:pPr>
    </w:p>
    <w:p w:rsidR="00EF4B60" w:rsidRPr="008D7DDC" w:rsidRDefault="00EF4B60" w:rsidP="00F51C52">
      <w:pPr>
        <w:pStyle w:val="Style54"/>
        <w:widowControl/>
        <w:spacing w:line="240" w:lineRule="exact"/>
        <w:ind w:left="1224" w:right="960"/>
        <w:rPr>
          <w:b/>
          <w:sz w:val="22"/>
          <w:szCs w:val="22"/>
          <w:lang w:val="fr-CA"/>
        </w:rPr>
      </w:pPr>
    </w:p>
    <w:p w:rsidR="00EF4B60" w:rsidRPr="008D7DDC" w:rsidRDefault="00EF4B60" w:rsidP="00F51C52">
      <w:pPr>
        <w:pStyle w:val="Style54"/>
        <w:widowControl/>
        <w:spacing w:before="19"/>
        <w:ind w:right="51" w:firstLine="0"/>
        <w:jc w:val="center"/>
        <w:rPr>
          <w:rStyle w:val="FontStyle104"/>
          <w:rFonts w:ascii="Times New Roman" w:hAnsi="Times New Roman" w:cs="Times New Roman"/>
          <w:lang w:val="fr-CA"/>
        </w:rPr>
      </w:pPr>
      <w:r w:rsidRPr="008D7DDC">
        <w:rPr>
          <w:rStyle w:val="FontStyle104"/>
          <w:rFonts w:ascii="Times New Roman" w:hAnsi="Times New Roman"/>
          <w:lang w:val="fr-CA"/>
        </w:rPr>
        <w:t xml:space="preserve">UNIVERSAL SETTLEMENTS INTERNATIONAL INC., </w:t>
      </w:r>
    </w:p>
    <w:p w:rsidR="00EF4B60" w:rsidRPr="003E2931" w:rsidRDefault="00EF4B60" w:rsidP="00F51C52">
      <w:pPr>
        <w:pStyle w:val="Style54"/>
        <w:widowControl/>
        <w:spacing w:before="19"/>
        <w:ind w:right="51" w:firstLine="0"/>
        <w:jc w:val="center"/>
        <w:rPr>
          <w:rStyle w:val="FontStyle104"/>
          <w:rFonts w:ascii="Times New Roman" w:hAnsi="Times New Roman" w:cs="Times New Roman"/>
        </w:rPr>
      </w:pPr>
      <w:r>
        <w:rPr>
          <w:rStyle w:val="FontStyle104"/>
          <w:rFonts w:ascii="Times New Roman" w:hAnsi="Times New Roman"/>
        </w:rPr>
        <w:t xml:space="preserve">EL BROKERWISE GROUP INC. </w:t>
      </w:r>
      <w:proofErr w:type="gramStart"/>
      <w:r>
        <w:rPr>
          <w:rStyle w:val="FontStyle104"/>
          <w:rFonts w:ascii="Times New Roman" w:hAnsi="Times New Roman"/>
        </w:rPr>
        <w:t>y</w:t>
      </w:r>
      <w:proofErr w:type="gramEnd"/>
      <w:r>
        <w:rPr>
          <w:rStyle w:val="FontStyle104"/>
          <w:rFonts w:ascii="Times New Roman" w:hAnsi="Times New Roman"/>
        </w:rPr>
        <w:t xml:space="preserve"> 1508211 ONTARIO INC.</w:t>
      </w:r>
    </w:p>
    <w:p w:rsidR="00EF4B60" w:rsidRPr="001735F9" w:rsidRDefault="00EF4B60" w:rsidP="00F51C52">
      <w:pPr>
        <w:pStyle w:val="Style54"/>
        <w:widowControl/>
        <w:spacing w:line="240" w:lineRule="exact"/>
        <w:ind w:left="1152"/>
        <w:rPr>
          <w:sz w:val="20"/>
          <w:szCs w:val="20"/>
        </w:rPr>
      </w:pPr>
    </w:p>
    <w:p w:rsidR="00EF4B60" w:rsidRPr="001735F9" w:rsidRDefault="00EF4B60" w:rsidP="00F51C52">
      <w:pPr>
        <w:pStyle w:val="Style54"/>
        <w:widowControl/>
        <w:spacing w:line="240" w:lineRule="exact"/>
        <w:ind w:left="1152"/>
        <w:rPr>
          <w:sz w:val="20"/>
          <w:szCs w:val="20"/>
        </w:rPr>
      </w:pPr>
    </w:p>
    <w:p w:rsidR="00EF4B60" w:rsidRPr="001735F9" w:rsidRDefault="00EF4B60" w:rsidP="00F51C52">
      <w:pPr>
        <w:pStyle w:val="Style31"/>
        <w:widowControl/>
        <w:spacing w:before="5"/>
        <w:jc w:val="right"/>
        <w:rPr>
          <w:rStyle w:val="FontStyle103"/>
          <w:rFonts w:ascii="Times New Roman" w:hAnsi="Times New Roman" w:cs="Times New Roman"/>
        </w:rPr>
      </w:pPr>
      <w:r>
        <w:rPr>
          <w:rStyle w:val="FontStyle103"/>
          <w:rFonts w:ascii="Times New Roman" w:hAnsi="Times New Roman"/>
        </w:rPr>
        <w:t>Demandantes</w:t>
      </w:r>
    </w:p>
    <w:p w:rsidR="00EF4B60" w:rsidRPr="001735F9" w:rsidRDefault="00EF4B60" w:rsidP="00F51C52">
      <w:pPr>
        <w:pStyle w:val="Style31"/>
        <w:widowControl/>
        <w:spacing w:line="240" w:lineRule="exact"/>
        <w:ind w:right="10"/>
        <w:jc w:val="center"/>
        <w:rPr>
          <w:sz w:val="20"/>
          <w:szCs w:val="20"/>
        </w:rPr>
      </w:pPr>
    </w:p>
    <w:p w:rsidR="00EF4B60" w:rsidRPr="001735F9" w:rsidRDefault="00EF4B60" w:rsidP="00F51C52">
      <w:pPr>
        <w:pStyle w:val="Style31"/>
        <w:widowControl/>
        <w:spacing w:line="240" w:lineRule="exact"/>
        <w:ind w:right="10"/>
        <w:jc w:val="center"/>
        <w:rPr>
          <w:sz w:val="20"/>
          <w:szCs w:val="20"/>
        </w:rPr>
      </w:pPr>
    </w:p>
    <w:p w:rsidR="00EF4B60" w:rsidRPr="001735F9" w:rsidRDefault="00EF4B60" w:rsidP="00F51C52">
      <w:pPr>
        <w:pStyle w:val="Style31"/>
        <w:widowControl/>
        <w:spacing w:before="14"/>
        <w:ind w:right="10"/>
        <w:jc w:val="center"/>
        <w:rPr>
          <w:rStyle w:val="FontStyle103"/>
          <w:rFonts w:ascii="Times New Roman" w:hAnsi="Times New Roman" w:cs="Times New Roman"/>
        </w:rPr>
      </w:pPr>
      <w:r>
        <w:rPr>
          <w:rStyle w:val="FontStyle103"/>
          <w:rFonts w:ascii="Times New Roman" w:hAnsi="Times New Roman"/>
        </w:rPr>
        <w:t>- y -</w:t>
      </w:r>
    </w:p>
    <w:p w:rsidR="00EF4B60" w:rsidRPr="001735F9" w:rsidRDefault="00EF4B60" w:rsidP="00F51C52">
      <w:pPr>
        <w:pStyle w:val="Style24"/>
        <w:widowControl/>
        <w:spacing w:line="240" w:lineRule="exact"/>
        <w:ind w:left="1219"/>
        <w:jc w:val="left"/>
        <w:rPr>
          <w:sz w:val="20"/>
          <w:szCs w:val="20"/>
        </w:rPr>
      </w:pPr>
    </w:p>
    <w:p w:rsidR="00EF4B60" w:rsidRPr="001735F9" w:rsidRDefault="00EF4B60" w:rsidP="00F51C52">
      <w:pPr>
        <w:pStyle w:val="Style24"/>
        <w:widowControl/>
        <w:spacing w:line="240" w:lineRule="exact"/>
        <w:ind w:left="1219"/>
        <w:jc w:val="left"/>
        <w:rPr>
          <w:sz w:val="20"/>
          <w:szCs w:val="20"/>
        </w:rPr>
      </w:pPr>
    </w:p>
    <w:p w:rsidR="00EF4B60" w:rsidRPr="001735F9" w:rsidRDefault="00EF4B60" w:rsidP="00F51C52">
      <w:pPr>
        <w:pStyle w:val="Style24"/>
        <w:widowControl/>
        <w:spacing w:line="240" w:lineRule="exact"/>
        <w:ind w:left="1219"/>
        <w:jc w:val="left"/>
        <w:rPr>
          <w:sz w:val="20"/>
          <w:szCs w:val="20"/>
        </w:rPr>
      </w:pPr>
    </w:p>
    <w:p w:rsidR="00EF4B60" w:rsidRPr="001735F9" w:rsidRDefault="00EF4B60" w:rsidP="00F51C52">
      <w:pPr>
        <w:pStyle w:val="Style24"/>
        <w:widowControl/>
        <w:spacing w:before="43"/>
        <w:ind w:left="1219"/>
        <w:jc w:val="left"/>
        <w:rPr>
          <w:rStyle w:val="FontStyle104"/>
          <w:rFonts w:ascii="Times New Roman" w:hAnsi="Times New Roman" w:cs="Times New Roman"/>
        </w:rPr>
      </w:pPr>
      <w:r>
        <w:rPr>
          <w:rStyle w:val="FontStyle104"/>
          <w:rFonts w:ascii="Times New Roman" w:hAnsi="Times New Roman"/>
        </w:rPr>
        <w:t>ANTONIO DUSCIO y MARTINA CAPITAL CORPORATION</w:t>
      </w:r>
    </w:p>
    <w:p w:rsidR="00EF4B60" w:rsidRPr="001735F9" w:rsidRDefault="00EF4B60" w:rsidP="00F51C52">
      <w:pPr>
        <w:pStyle w:val="Style31"/>
        <w:widowControl/>
        <w:spacing w:before="240"/>
        <w:ind w:right="10"/>
        <w:jc w:val="right"/>
        <w:rPr>
          <w:rStyle w:val="FontStyle103"/>
          <w:rFonts w:ascii="Times New Roman" w:hAnsi="Times New Roman" w:cs="Times New Roman"/>
        </w:rPr>
      </w:pPr>
      <w:r>
        <w:rPr>
          <w:rStyle w:val="FontStyle103"/>
          <w:rFonts w:ascii="Times New Roman" w:hAnsi="Times New Roman"/>
        </w:rPr>
        <w:t>Demandados</w:t>
      </w:r>
    </w:p>
    <w:p w:rsidR="00EF4B60" w:rsidRPr="001735F9" w:rsidRDefault="00EF4B60" w:rsidP="00F51C52">
      <w:pPr>
        <w:pStyle w:val="Style24"/>
        <w:widowControl/>
        <w:spacing w:line="240" w:lineRule="exact"/>
        <w:ind w:left="2309"/>
        <w:jc w:val="both"/>
        <w:rPr>
          <w:sz w:val="20"/>
          <w:szCs w:val="20"/>
        </w:rPr>
      </w:pPr>
    </w:p>
    <w:p w:rsidR="00EF4B60" w:rsidRPr="001735F9" w:rsidRDefault="00EF4B60" w:rsidP="00F51C52">
      <w:pPr>
        <w:pStyle w:val="Style24"/>
        <w:widowControl/>
        <w:spacing w:line="240" w:lineRule="exact"/>
        <w:ind w:left="2309"/>
        <w:jc w:val="both"/>
        <w:rPr>
          <w:sz w:val="20"/>
          <w:szCs w:val="20"/>
        </w:rPr>
      </w:pPr>
    </w:p>
    <w:p w:rsidR="00EF4B60" w:rsidRPr="001735F9" w:rsidRDefault="00EF4B60" w:rsidP="00F51C52">
      <w:pPr>
        <w:pStyle w:val="Style24"/>
        <w:widowControl/>
        <w:spacing w:line="240" w:lineRule="exact"/>
        <w:ind w:left="2309"/>
        <w:jc w:val="both"/>
        <w:rPr>
          <w:sz w:val="20"/>
          <w:szCs w:val="20"/>
        </w:rPr>
      </w:pPr>
    </w:p>
    <w:p w:rsidR="00EF4B60" w:rsidRPr="001735F9" w:rsidRDefault="00EF4B60" w:rsidP="00F51C52">
      <w:pPr>
        <w:pStyle w:val="Style24"/>
        <w:widowControl/>
        <w:spacing w:before="5"/>
        <w:ind w:left="2309"/>
        <w:jc w:val="both"/>
        <w:rPr>
          <w:rStyle w:val="FontStyle104"/>
          <w:rFonts w:ascii="Times New Roman" w:hAnsi="Times New Roman" w:cs="Times New Roman"/>
        </w:rPr>
      </w:pPr>
      <w:r>
        <w:rPr>
          <w:rStyle w:val="FontStyle104"/>
          <w:rFonts w:ascii="Times New Roman" w:hAnsi="Times New Roman"/>
        </w:rPr>
        <w:t>ANEXO “A” DEL LAUDO INAPELABLE</w:t>
      </w:r>
    </w:p>
    <w:p w:rsidR="00EF4B60" w:rsidRPr="001735F9" w:rsidRDefault="00EF4B60" w:rsidP="00F51C52">
      <w:pPr>
        <w:pStyle w:val="Style46"/>
        <w:widowControl/>
        <w:spacing w:line="240" w:lineRule="exact"/>
        <w:ind w:left="1330"/>
        <w:rPr>
          <w:sz w:val="20"/>
          <w:szCs w:val="20"/>
        </w:rPr>
      </w:pPr>
    </w:p>
    <w:p w:rsidR="00EF4B60" w:rsidRPr="001735F9" w:rsidRDefault="00EF4B60" w:rsidP="00F51C52">
      <w:pPr>
        <w:pStyle w:val="Style46"/>
        <w:widowControl/>
        <w:spacing w:line="240" w:lineRule="auto"/>
        <w:ind w:left="1330"/>
        <w:rPr>
          <w:sz w:val="20"/>
          <w:szCs w:val="20"/>
        </w:rPr>
      </w:pPr>
    </w:p>
    <w:p w:rsidR="00EF4B60" w:rsidRPr="001735F9" w:rsidRDefault="00EF4B60" w:rsidP="00F51C52">
      <w:pPr>
        <w:pStyle w:val="Style46"/>
        <w:widowControl/>
        <w:numPr>
          <w:ilvl w:val="0"/>
          <w:numId w:val="40"/>
        </w:numPr>
        <w:spacing w:before="235" w:line="264" w:lineRule="exact"/>
        <w:rPr>
          <w:rStyle w:val="FontStyle103"/>
          <w:rFonts w:ascii="Times New Roman" w:hAnsi="Times New Roman" w:cs="Times New Roman"/>
        </w:rPr>
      </w:pPr>
      <w:r>
        <w:rPr>
          <w:rStyle w:val="FontStyle103"/>
          <w:rFonts w:ascii="Times New Roman" w:hAnsi="Times New Roman"/>
        </w:rPr>
        <w:t>los terrenos y los bienes inmuebles conocidos municipalmente como 6671 Concesión 1, Municipio de Puslinch con Número de identificación de parcela (NIP) 71206-0045 (LT) en la Oficina de Registro de la Propiedad Inmobiliaria número 61 (el “Futuro domicilio”) y legalmente descritos como:</w:t>
      </w:r>
    </w:p>
    <w:p w:rsidR="00EF4B60" w:rsidRPr="001735F9" w:rsidRDefault="00EF4B60" w:rsidP="00F51C52">
      <w:pPr>
        <w:pStyle w:val="Style31"/>
        <w:widowControl/>
        <w:spacing w:before="226" w:line="264" w:lineRule="exact"/>
        <w:ind w:left="2030"/>
        <w:rPr>
          <w:rStyle w:val="FontStyle103"/>
          <w:rFonts w:ascii="Times New Roman" w:hAnsi="Times New Roman" w:cs="Times New Roman"/>
        </w:rPr>
      </w:pPr>
      <w:r>
        <w:rPr>
          <w:rStyle w:val="FontStyle103"/>
          <w:rFonts w:ascii="Times New Roman" w:hAnsi="Times New Roman"/>
        </w:rPr>
        <w:t>PT Lote 8</w:t>
      </w:r>
    </w:p>
    <w:p w:rsidR="00EF4B60" w:rsidRPr="001735F9" w:rsidRDefault="00EF4B60" w:rsidP="00F51C52">
      <w:pPr>
        <w:pStyle w:val="Style31"/>
        <w:widowControl/>
        <w:spacing w:before="5" w:line="264" w:lineRule="exact"/>
        <w:ind w:left="2026"/>
        <w:rPr>
          <w:rStyle w:val="FontStyle103"/>
          <w:rFonts w:ascii="Times New Roman" w:hAnsi="Times New Roman" w:cs="Times New Roman"/>
        </w:rPr>
      </w:pPr>
      <w:r>
        <w:rPr>
          <w:rStyle w:val="FontStyle103"/>
          <w:rFonts w:ascii="Times New Roman" w:hAnsi="Times New Roman"/>
        </w:rPr>
        <w:t>Concesión GORE</w:t>
      </w:r>
    </w:p>
    <w:p w:rsidR="00EF4B60" w:rsidRPr="001735F9" w:rsidRDefault="00EF4B60" w:rsidP="00F51C52">
      <w:pPr>
        <w:pStyle w:val="Style31"/>
        <w:widowControl/>
        <w:spacing w:line="264" w:lineRule="exact"/>
        <w:ind w:left="2021" w:right="1997"/>
        <w:rPr>
          <w:rStyle w:val="FontStyle103"/>
          <w:rFonts w:ascii="Times New Roman" w:hAnsi="Times New Roman" w:cs="Times New Roman"/>
        </w:rPr>
      </w:pPr>
      <w:r>
        <w:rPr>
          <w:rStyle w:val="FontStyle103"/>
          <w:rFonts w:ascii="Times New Roman" w:hAnsi="Times New Roman"/>
        </w:rPr>
        <w:t>Municipio de PUSLINCH, COMO EN R0S400507 MUNICIPIO DE PUSLINCH</w:t>
      </w:r>
    </w:p>
    <w:p w:rsidR="00EF4B60" w:rsidRPr="001735F9" w:rsidRDefault="00EF4B60" w:rsidP="00F51C52">
      <w:pPr>
        <w:pStyle w:val="Style46"/>
        <w:widowControl/>
        <w:spacing w:line="240" w:lineRule="auto"/>
        <w:ind w:left="1320" w:hanging="600"/>
        <w:rPr>
          <w:sz w:val="20"/>
          <w:szCs w:val="20"/>
        </w:rPr>
      </w:pPr>
    </w:p>
    <w:p w:rsidR="00EF4B60" w:rsidRPr="001735F9" w:rsidRDefault="00EF4B60" w:rsidP="00F51C52">
      <w:pPr>
        <w:pStyle w:val="Style46"/>
        <w:widowControl/>
        <w:numPr>
          <w:ilvl w:val="0"/>
          <w:numId w:val="40"/>
        </w:numPr>
        <w:spacing w:before="235" w:line="264" w:lineRule="exact"/>
        <w:rPr>
          <w:rStyle w:val="FontStyle103"/>
          <w:rFonts w:ascii="Times New Roman" w:hAnsi="Times New Roman" w:cs="Times New Roman"/>
        </w:rPr>
      </w:pPr>
      <w:r>
        <w:rPr>
          <w:rStyle w:val="FontStyle103"/>
          <w:rFonts w:ascii="Times New Roman" w:hAnsi="Times New Roman"/>
        </w:rPr>
        <w:t>los terrenos y los bienes inmuebles conocidos municipalmente como 16-20 Queen Street North, Kitchener, Ontario, N2H 2G8 con NIP 22316-0065 (LT) en la Oficina de Registro de la Propiedad Inmobiliaria número 58 (la “Oficina de Kitchener”) y legalmente descritos como:</w:t>
      </w:r>
    </w:p>
    <w:p w:rsidR="00EF4B60" w:rsidRDefault="00EF4B60" w:rsidP="00F51C52">
      <w:pPr>
        <w:pStyle w:val="Style31"/>
        <w:widowControl/>
        <w:spacing w:before="5" w:line="264" w:lineRule="exact"/>
        <w:ind w:left="2026"/>
        <w:rPr>
          <w:rStyle w:val="FontStyle103"/>
          <w:rFonts w:ascii="Times New Roman" w:hAnsi="Times New Roman" w:cs="Times New Roman"/>
        </w:rPr>
      </w:pPr>
    </w:p>
    <w:p w:rsidR="00EF4B60" w:rsidRPr="008D7DDC" w:rsidRDefault="00EF4B60" w:rsidP="00F51C52">
      <w:pPr>
        <w:pStyle w:val="Style31"/>
        <w:widowControl/>
        <w:spacing w:before="5" w:line="264" w:lineRule="exact"/>
        <w:ind w:left="2026"/>
        <w:rPr>
          <w:rStyle w:val="FontStyle103"/>
          <w:rFonts w:ascii="Times New Roman" w:hAnsi="Times New Roman" w:cs="Times New Roman"/>
          <w:lang w:val="en-US"/>
        </w:rPr>
      </w:pPr>
      <w:r w:rsidRPr="008D7DDC">
        <w:rPr>
          <w:rStyle w:val="FontStyle103"/>
          <w:rFonts w:ascii="Times New Roman" w:hAnsi="Times New Roman"/>
          <w:lang w:val="en-US"/>
        </w:rPr>
        <w:t xml:space="preserve">PT PT Lotes 2 &amp; 7 W/S Queen St &amp; S/S Weber St </w:t>
      </w:r>
    </w:p>
    <w:p w:rsidR="00EF4B60" w:rsidRPr="008D7DDC" w:rsidRDefault="00EF4B60" w:rsidP="00F51C52">
      <w:pPr>
        <w:pStyle w:val="Style31"/>
        <w:widowControl/>
        <w:spacing w:before="5" w:line="264" w:lineRule="exact"/>
        <w:ind w:left="2026"/>
        <w:rPr>
          <w:rStyle w:val="FontStyle103"/>
          <w:rFonts w:ascii="Times New Roman" w:hAnsi="Times New Roman" w:cs="Times New Roman"/>
          <w:lang w:val="en-US"/>
        </w:rPr>
      </w:pPr>
      <w:r w:rsidRPr="008D7DDC">
        <w:rPr>
          <w:rStyle w:val="FontStyle103"/>
          <w:rFonts w:ascii="Times New Roman" w:hAnsi="Times New Roman"/>
          <w:lang w:val="en-US"/>
        </w:rPr>
        <w:t>PL 401 Kitchener;</w:t>
      </w:r>
    </w:p>
    <w:p w:rsidR="00EF4B60" w:rsidRPr="008D7DDC" w:rsidRDefault="00EF4B60" w:rsidP="00F51C52">
      <w:pPr>
        <w:pStyle w:val="Style31"/>
        <w:widowControl/>
        <w:spacing w:before="5" w:line="264" w:lineRule="exact"/>
        <w:ind w:left="2026"/>
        <w:rPr>
          <w:rStyle w:val="FontStyle103"/>
          <w:rFonts w:ascii="Times New Roman" w:hAnsi="Times New Roman" w:cs="Times New Roman"/>
          <w:lang w:val="en-US"/>
        </w:rPr>
      </w:pPr>
      <w:r w:rsidRPr="008D7DDC">
        <w:rPr>
          <w:rStyle w:val="FontStyle103"/>
          <w:rFonts w:ascii="Times New Roman" w:hAnsi="Times New Roman"/>
          <w:lang w:val="en-US"/>
        </w:rPr>
        <w:t>PT LT 8 PL 396 KITCHENER PT 2 &amp; 3, 58R2923,</w:t>
      </w:r>
    </w:p>
    <w:p w:rsidR="00EF4B60" w:rsidRPr="001735F9" w:rsidRDefault="00EF4B60" w:rsidP="00F51C52">
      <w:pPr>
        <w:pStyle w:val="Style31"/>
        <w:widowControl/>
        <w:spacing w:line="259" w:lineRule="exact"/>
        <w:ind w:left="2002"/>
        <w:rPr>
          <w:rStyle w:val="FontStyle103"/>
          <w:rFonts w:ascii="Times New Roman" w:hAnsi="Times New Roman" w:cs="Times New Roman"/>
        </w:rPr>
      </w:pPr>
      <w:r>
        <w:rPr>
          <w:rStyle w:val="FontStyle103"/>
          <w:rFonts w:ascii="Times New Roman" w:hAnsi="Times New Roman"/>
        </w:rPr>
        <w:t>S/T &amp; T/W 1384744;</w:t>
      </w:r>
    </w:p>
    <w:p w:rsidR="00EF4B60" w:rsidRPr="001735F9" w:rsidRDefault="00EF4B60" w:rsidP="00F51C52">
      <w:pPr>
        <w:pStyle w:val="Style31"/>
        <w:widowControl/>
        <w:spacing w:line="259" w:lineRule="exact"/>
        <w:ind w:left="2006"/>
        <w:rPr>
          <w:rStyle w:val="FontStyle103"/>
          <w:rFonts w:ascii="Times New Roman" w:hAnsi="Times New Roman" w:cs="Times New Roman"/>
        </w:rPr>
      </w:pPr>
      <w:r>
        <w:rPr>
          <w:rStyle w:val="FontStyle103"/>
          <w:rFonts w:ascii="Times New Roman" w:hAnsi="Times New Roman"/>
        </w:rPr>
        <w:t>KITCHENER</w:t>
      </w:r>
    </w:p>
    <w:p w:rsidR="00EF4B60" w:rsidRDefault="00EF4B60" w:rsidP="00F51C52">
      <w:pPr>
        <w:pStyle w:val="Style31"/>
        <w:widowControl/>
        <w:spacing w:line="264" w:lineRule="exact"/>
        <w:jc w:val="both"/>
        <w:rPr>
          <w:rStyle w:val="FontStyle103"/>
          <w:rFonts w:ascii="Times New Roman" w:hAnsi="Times New Roman" w:cs="Times New Roman"/>
        </w:rPr>
      </w:pPr>
    </w:p>
    <w:p w:rsidR="00EF4B60" w:rsidRPr="001735F9" w:rsidRDefault="00EF4B60" w:rsidP="00F51C52">
      <w:pPr>
        <w:pStyle w:val="Style46"/>
        <w:widowControl/>
        <w:numPr>
          <w:ilvl w:val="0"/>
          <w:numId w:val="40"/>
        </w:numPr>
        <w:spacing w:before="235" w:line="264" w:lineRule="exact"/>
        <w:rPr>
          <w:rStyle w:val="FontStyle103"/>
          <w:rFonts w:ascii="Times New Roman" w:hAnsi="Times New Roman" w:cs="Times New Roman"/>
        </w:rPr>
      </w:pPr>
      <w:r>
        <w:rPr>
          <w:rStyle w:val="FontStyle103"/>
          <w:rFonts w:ascii="Times New Roman" w:hAnsi="Times New Roman"/>
        </w:rPr>
        <w:t>los terrenos y los bienes inmuebles conocidos municipalmente como 50 Coral Crescent, Kitchener, Ontario con NIP 22487-0186 (LT) en la Oficina de Registro de la Propiedad Inmobiliaria número 58 (el “Domicilio de Duscio”) y legalmente descritos como:</w:t>
      </w:r>
    </w:p>
    <w:p w:rsidR="00EF4B60" w:rsidRDefault="00EF4B60" w:rsidP="00F51C52">
      <w:pPr>
        <w:pStyle w:val="Style31"/>
        <w:widowControl/>
        <w:spacing w:before="5" w:line="264" w:lineRule="exact"/>
        <w:ind w:left="2026"/>
        <w:rPr>
          <w:rStyle w:val="FontStyle103"/>
          <w:rFonts w:ascii="Times New Roman" w:hAnsi="Times New Roman" w:cs="Times New Roman"/>
        </w:rPr>
      </w:pPr>
    </w:p>
    <w:p w:rsidR="00EF4B60" w:rsidRDefault="00EF4B60" w:rsidP="00F51C52">
      <w:pPr>
        <w:pStyle w:val="Style31"/>
        <w:widowControl/>
        <w:spacing w:before="5" w:line="264" w:lineRule="exact"/>
        <w:ind w:left="2026"/>
        <w:rPr>
          <w:rStyle w:val="FontStyle103"/>
          <w:rFonts w:ascii="Times New Roman" w:hAnsi="Times New Roman" w:cs="Times New Roman"/>
        </w:rPr>
      </w:pPr>
      <w:r>
        <w:rPr>
          <w:rStyle w:val="FontStyle103"/>
          <w:rFonts w:ascii="Times New Roman" w:hAnsi="Times New Roman"/>
        </w:rPr>
        <w:t xml:space="preserve">LT 6 PL 1063 KITCHENER </w:t>
      </w:r>
    </w:p>
    <w:p w:rsidR="00EF4B60" w:rsidRDefault="00EF4B60" w:rsidP="00F51C52">
      <w:pPr>
        <w:pStyle w:val="Style31"/>
        <w:widowControl/>
        <w:spacing w:before="5" w:line="264" w:lineRule="exact"/>
        <w:ind w:left="2026"/>
        <w:rPr>
          <w:rStyle w:val="FontStyle103"/>
          <w:rFonts w:ascii="Times New Roman" w:hAnsi="Times New Roman" w:cs="Times New Roman"/>
        </w:rPr>
      </w:pPr>
      <w:r>
        <w:rPr>
          <w:rStyle w:val="FontStyle103"/>
          <w:rFonts w:ascii="Times New Roman" w:hAnsi="Times New Roman"/>
        </w:rPr>
        <w:t>KITCHENER</w:t>
      </w:r>
    </w:p>
    <w:p w:rsidR="00EF4B60" w:rsidRDefault="00EF4B60" w:rsidP="00F51C52">
      <w:pPr>
        <w:pStyle w:val="Style31"/>
        <w:widowControl/>
        <w:spacing w:before="5" w:line="264" w:lineRule="exact"/>
        <w:ind w:left="2026"/>
        <w:rPr>
          <w:rStyle w:val="FontStyle103"/>
          <w:rFonts w:ascii="Times New Roman" w:hAnsi="Times New Roman" w:cs="Times New Roman"/>
        </w:rPr>
      </w:pPr>
    </w:p>
    <w:p w:rsidR="00EF4B60" w:rsidRDefault="00EF4B60" w:rsidP="00F51C52">
      <w:pPr>
        <w:pStyle w:val="Style31"/>
        <w:widowControl/>
        <w:spacing w:before="5" w:line="264" w:lineRule="exact"/>
        <w:ind w:left="2026"/>
        <w:sectPr w:rsidR="00EF4B60" w:rsidSect="00915E8A">
          <w:headerReference w:type="default" r:id="rId18"/>
          <w:pgSz w:w="12242" w:h="15842" w:code="1"/>
          <w:pgMar w:top="1440" w:right="1440" w:bottom="1440" w:left="1440" w:header="720" w:footer="720" w:gutter="0"/>
          <w:pgNumType w:fmt="numberInDash" w:start="1"/>
          <w:cols w:space="60"/>
          <w:noEndnote/>
          <w:titlePg/>
        </w:sectPr>
      </w:pPr>
    </w:p>
    <w:p w:rsidR="00EF4B60" w:rsidRPr="003E2931" w:rsidRDefault="00EF4B60" w:rsidP="00F51C52">
      <w:pPr>
        <w:pStyle w:val="Style31"/>
        <w:widowControl/>
        <w:spacing w:line="240" w:lineRule="exact"/>
        <w:jc w:val="center"/>
        <w:rPr>
          <w:b/>
          <w:sz w:val="22"/>
          <w:szCs w:val="22"/>
        </w:rPr>
      </w:pPr>
      <w:r>
        <w:rPr>
          <w:b/>
          <w:sz w:val="22"/>
        </w:rPr>
        <w:lastRenderedPageBreak/>
        <w:t>EN EL ASUNTO DE UN ARBITRAJE</w:t>
      </w:r>
    </w:p>
    <w:p w:rsidR="00EF4B60" w:rsidRPr="003E2931" w:rsidRDefault="00EF4B60" w:rsidP="00F51C52">
      <w:pPr>
        <w:pStyle w:val="Style31"/>
        <w:widowControl/>
        <w:spacing w:line="240" w:lineRule="exact"/>
        <w:jc w:val="center"/>
        <w:rPr>
          <w:b/>
          <w:sz w:val="22"/>
          <w:szCs w:val="22"/>
        </w:rPr>
      </w:pPr>
    </w:p>
    <w:p w:rsidR="00EF4B60" w:rsidRPr="008D7DDC" w:rsidRDefault="00EF4B60" w:rsidP="00F51C52">
      <w:pPr>
        <w:pStyle w:val="Style31"/>
        <w:widowControl/>
        <w:spacing w:before="120"/>
        <w:jc w:val="both"/>
        <w:rPr>
          <w:rStyle w:val="FontStyle103"/>
          <w:rFonts w:ascii="Times New Roman" w:hAnsi="Times New Roman" w:cs="Times New Roman"/>
          <w:spacing w:val="50"/>
          <w:lang w:val="fr-CA"/>
        </w:rPr>
      </w:pPr>
      <w:r w:rsidRPr="008D7DDC">
        <w:rPr>
          <w:rStyle w:val="FontStyle103"/>
          <w:rFonts w:ascii="Times New Roman" w:hAnsi="Times New Roman"/>
          <w:spacing w:val="50"/>
          <w:lang w:val="fr-CA"/>
        </w:rPr>
        <w:t>ENTRE:</w:t>
      </w:r>
    </w:p>
    <w:p w:rsidR="00EF4B60" w:rsidRPr="008D7DDC" w:rsidRDefault="00EF4B60" w:rsidP="00F51C52">
      <w:pPr>
        <w:pStyle w:val="Style54"/>
        <w:widowControl/>
        <w:spacing w:line="240" w:lineRule="exact"/>
        <w:ind w:left="1224" w:right="960"/>
        <w:rPr>
          <w:b/>
          <w:sz w:val="22"/>
          <w:szCs w:val="22"/>
          <w:lang w:val="fr-CA"/>
        </w:rPr>
      </w:pPr>
    </w:p>
    <w:p w:rsidR="00EF4B60" w:rsidRPr="008D7DDC" w:rsidRDefault="00EF4B60" w:rsidP="00F51C52">
      <w:pPr>
        <w:pStyle w:val="Style54"/>
        <w:widowControl/>
        <w:spacing w:before="19"/>
        <w:ind w:right="51" w:firstLine="0"/>
        <w:jc w:val="center"/>
        <w:rPr>
          <w:rStyle w:val="FontStyle104"/>
          <w:rFonts w:ascii="Times New Roman" w:hAnsi="Times New Roman" w:cs="Times New Roman"/>
          <w:lang w:val="fr-CA"/>
        </w:rPr>
      </w:pPr>
      <w:r w:rsidRPr="008D7DDC">
        <w:rPr>
          <w:rStyle w:val="FontStyle104"/>
          <w:rFonts w:ascii="Times New Roman" w:hAnsi="Times New Roman"/>
          <w:lang w:val="fr-CA"/>
        </w:rPr>
        <w:t xml:space="preserve">UNIVERSAL SETTLEMENTS INTERNATIONAL INC., </w:t>
      </w:r>
    </w:p>
    <w:p w:rsidR="00EF4B60" w:rsidRPr="001735F9" w:rsidRDefault="00EF4B60" w:rsidP="00F51C52">
      <w:pPr>
        <w:pStyle w:val="Style54"/>
        <w:widowControl/>
        <w:spacing w:before="19"/>
        <w:ind w:right="51" w:firstLine="0"/>
        <w:jc w:val="center"/>
        <w:rPr>
          <w:rStyle w:val="FontStyle104"/>
          <w:rFonts w:ascii="Times New Roman" w:hAnsi="Times New Roman" w:cs="Times New Roman"/>
        </w:rPr>
      </w:pPr>
      <w:r>
        <w:rPr>
          <w:rStyle w:val="FontStyle104"/>
          <w:rFonts w:ascii="Times New Roman" w:hAnsi="Times New Roman"/>
        </w:rPr>
        <w:t xml:space="preserve">EL BROKERWISE GROUP INC. </w:t>
      </w:r>
      <w:proofErr w:type="gramStart"/>
      <w:r>
        <w:rPr>
          <w:rStyle w:val="FontStyle104"/>
          <w:rFonts w:ascii="Times New Roman" w:hAnsi="Times New Roman"/>
        </w:rPr>
        <w:t>y</w:t>
      </w:r>
      <w:proofErr w:type="gramEnd"/>
      <w:r>
        <w:rPr>
          <w:rStyle w:val="FontStyle104"/>
          <w:rFonts w:ascii="Times New Roman" w:hAnsi="Times New Roman"/>
        </w:rPr>
        <w:t xml:space="preserve"> 1508211 ONTARIO INC.</w:t>
      </w:r>
    </w:p>
    <w:p w:rsidR="00EF4B60" w:rsidRPr="001735F9" w:rsidRDefault="00EF4B60" w:rsidP="00F51C52">
      <w:pPr>
        <w:pStyle w:val="Style31"/>
        <w:widowControl/>
        <w:spacing w:line="240" w:lineRule="exact"/>
        <w:jc w:val="right"/>
        <w:rPr>
          <w:sz w:val="20"/>
          <w:szCs w:val="20"/>
        </w:rPr>
      </w:pPr>
    </w:p>
    <w:p w:rsidR="00EF4B60" w:rsidRPr="001735F9" w:rsidRDefault="00EF4B60" w:rsidP="00F51C52">
      <w:pPr>
        <w:pStyle w:val="Style31"/>
        <w:widowControl/>
        <w:spacing w:before="10"/>
        <w:jc w:val="right"/>
        <w:rPr>
          <w:rStyle w:val="FontStyle103"/>
          <w:rFonts w:ascii="Times New Roman" w:hAnsi="Times New Roman" w:cs="Times New Roman"/>
        </w:rPr>
      </w:pPr>
      <w:r>
        <w:rPr>
          <w:rStyle w:val="FontStyle103"/>
          <w:rFonts w:ascii="Times New Roman" w:hAnsi="Times New Roman"/>
        </w:rPr>
        <w:t>Demandantes</w:t>
      </w:r>
    </w:p>
    <w:p w:rsidR="00EF4B60" w:rsidRPr="001735F9" w:rsidRDefault="00EF4B60" w:rsidP="00F51C52">
      <w:pPr>
        <w:pStyle w:val="Style31"/>
        <w:widowControl/>
        <w:jc w:val="center"/>
        <w:rPr>
          <w:rStyle w:val="FontStyle103"/>
          <w:rFonts w:ascii="Times New Roman" w:hAnsi="Times New Roman" w:cs="Times New Roman"/>
        </w:rPr>
      </w:pPr>
      <w:r>
        <w:rPr>
          <w:rStyle w:val="FontStyle103"/>
          <w:rFonts w:ascii="Times New Roman" w:hAnsi="Times New Roman"/>
        </w:rPr>
        <w:t>- y -</w:t>
      </w:r>
    </w:p>
    <w:p w:rsidR="00EF4B60" w:rsidRPr="001735F9" w:rsidRDefault="00EF4B60" w:rsidP="00F51C52">
      <w:pPr>
        <w:pStyle w:val="Style24"/>
        <w:widowControl/>
        <w:spacing w:line="240" w:lineRule="exact"/>
        <w:rPr>
          <w:sz w:val="20"/>
          <w:szCs w:val="20"/>
        </w:rPr>
      </w:pPr>
    </w:p>
    <w:p w:rsidR="00EF4B60" w:rsidRPr="001735F9" w:rsidRDefault="00EF4B60" w:rsidP="00F51C52">
      <w:pPr>
        <w:pStyle w:val="Style24"/>
        <w:widowControl/>
        <w:spacing w:before="48"/>
        <w:rPr>
          <w:rStyle w:val="FontStyle104"/>
          <w:rFonts w:ascii="Times New Roman" w:hAnsi="Times New Roman" w:cs="Times New Roman"/>
        </w:rPr>
      </w:pPr>
      <w:r>
        <w:rPr>
          <w:rStyle w:val="FontStyle104"/>
          <w:rFonts w:ascii="Times New Roman" w:hAnsi="Times New Roman"/>
        </w:rPr>
        <w:t>ANTONIO DUSCIO y MARTINA CAPITAL CORPORATION</w:t>
      </w:r>
    </w:p>
    <w:p w:rsidR="00EF4B60" w:rsidRPr="001735F9" w:rsidRDefault="00EF4B60" w:rsidP="00F51C52">
      <w:pPr>
        <w:pStyle w:val="Style31"/>
        <w:widowControl/>
        <w:spacing w:line="240" w:lineRule="exact"/>
        <w:ind w:right="14"/>
        <w:jc w:val="right"/>
        <w:rPr>
          <w:sz w:val="20"/>
          <w:szCs w:val="20"/>
        </w:rPr>
      </w:pPr>
    </w:p>
    <w:p w:rsidR="00EF4B60" w:rsidRPr="001735F9" w:rsidRDefault="00EF4B60" w:rsidP="00F51C52">
      <w:pPr>
        <w:pStyle w:val="Style31"/>
        <w:widowControl/>
        <w:spacing w:before="5"/>
        <w:ind w:right="14"/>
        <w:jc w:val="right"/>
        <w:rPr>
          <w:rStyle w:val="FontStyle103"/>
          <w:rFonts w:ascii="Times New Roman" w:hAnsi="Times New Roman" w:cs="Times New Roman"/>
        </w:rPr>
      </w:pPr>
      <w:r>
        <w:rPr>
          <w:rStyle w:val="FontStyle103"/>
          <w:rFonts w:ascii="Times New Roman" w:hAnsi="Times New Roman"/>
        </w:rPr>
        <w:t>Demandados</w:t>
      </w:r>
    </w:p>
    <w:p w:rsidR="00EF4B60" w:rsidRPr="001735F9" w:rsidRDefault="00EF4B60" w:rsidP="00F51C52">
      <w:pPr>
        <w:pStyle w:val="Style24"/>
        <w:widowControl/>
        <w:spacing w:line="240" w:lineRule="exact"/>
        <w:ind w:left="2386"/>
        <w:jc w:val="both"/>
        <w:rPr>
          <w:sz w:val="20"/>
          <w:szCs w:val="20"/>
        </w:rPr>
      </w:pPr>
    </w:p>
    <w:p w:rsidR="00EF4B60" w:rsidRPr="001735F9" w:rsidRDefault="00EF4B60" w:rsidP="00F51C52">
      <w:pPr>
        <w:pStyle w:val="Style24"/>
        <w:widowControl/>
        <w:ind w:left="2386"/>
        <w:jc w:val="both"/>
        <w:rPr>
          <w:rStyle w:val="FontStyle104"/>
          <w:rFonts w:ascii="Times New Roman" w:hAnsi="Times New Roman" w:cs="Times New Roman"/>
        </w:rPr>
      </w:pPr>
      <w:r>
        <w:rPr>
          <w:rStyle w:val="FontStyle104"/>
          <w:rFonts w:ascii="Times New Roman" w:hAnsi="Times New Roman"/>
        </w:rPr>
        <w:t>ANEXO “B” DEL LAUDO INAPELABLE</w:t>
      </w:r>
    </w:p>
    <w:p w:rsidR="00EF4B60" w:rsidRPr="001735F9" w:rsidRDefault="00EF4B60" w:rsidP="00F51C52">
      <w:pPr>
        <w:widowControl/>
        <w:spacing w:after="216" w:line="1" w:lineRule="exact"/>
        <w:rPr>
          <w:sz w:val="2"/>
          <w:szCs w:val="2"/>
        </w:rPr>
      </w:pPr>
    </w:p>
    <w:tbl>
      <w:tblPr>
        <w:tblW w:w="9498" w:type="dxa"/>
        <w:tblInd w:w="40" w:type="dxa"/>
        <w:tblLayout w:type="fixed"/>
        <w:tblCellMar>
          <w:left w:w="40" w:type="dxa"/>
          <w:right w:w="40" w:type="dxa"/>
        </w:tblCellMar>
        <w:tblLook w:val="0000"/>
      </w:tblPr>
      <w:tblGrid>
        <w:gridCol w:w="1559"/>
        <w:gridCol w:w="4255"/>
        <w:gridCol w:w="1842"/>
        <w:gridCol w:w="1842"/>
      </w:tblGrid>
      <w:tr w:rsidR="00EF4B60" w:rsidRPr="001735F9" w:rsidTr="0076311D">
        <w:tblPrEx>
          <w:tblCellMar>
            <w:top w:w="0" w:type="dxa"/>
            <w:bottom w:w="0" w:type="dxa"/>
          </w:tblCellMar>
        </w:tblPrEx>
        <w:trPr>
          <w:cantSplit/>
          <w:tblHeader/>
        </w:trPr>
        <w:tc>
          <w:tcPr>
            <w:tcW w:w="1555"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ind w:firstLine="10"/>
              <w:rPr>
                <w:rStyle w:val="FontStyle84"/>
              </w:rPr>
            </w:pPr>
            <w:r>
              <w:rPr>
                <w:rStyle w:val="FontStyle84"/>
              </w:rPr>
              <w:t>Demanda</w:t>
            </w:r>
          </w:p>
        </w:tc>
        <w:tc>
          <w:tcPr>
            <w:tcW w:w="4257"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ind w:firstLine="10"/>
              <w:rPr>
                <w:rStyle w:val="FontStyle84"/>
              </w:rPr>
            </w:pPr>
            <w:r>
              <w:rPr>
                <w:rStyle w:val="FontStyle84"/>
              </w:rPr>
              <w:t>Naturaleza de la demanda</w:t>
            </w:r>
          </w:p>
        </w:tc>
        <w:tc>
          <w:tcPr>
            <w:tcW w:w="1843" w:type="dxa"/>
            <w:tcBorders>
              <w:top w:val="single" w:sz="6" w:space="0" w:color="auto"/>
              <w:left w:val="single" w:sz="6" w:space="0" w:color="auto"/>
              <w:bottom w:val="single" w:sz="6" w:space="0" w:color="auto"/>
              <w:right w:val="single" w:sz="6" w:space="0" w:color="auto"/>
            </w:tcBorders>
            <w:vAlign w:val="center"/>
          </w:tcPr>
          <w:p w:rsidR="00EF4B60" w:rsidRPr="00945803" w:rsidRDefault="00EF4B60" w:rsidP="00F51C52">
            <w:pPr>
              <w:pStyle w:val="Style30"/>
              <w:widowControl/>
              <w:ind w:firstLine="10"/>
              <w:rPr>
                <w:rStyle w:val="FontStyle84"/>
              </w:rPr>
            </w:pPr>
            <w:r>
              <w:rPr>
                <w:rStyle w:val="FontStyle84"/>
              </w:rPr>
              <w:t>Monto de la demanda</w:t>
            </w:r>
            <w:r w:rsidR="00945803">
              <w:rPr>
                <w:rStyle w:val="FontStyle84"/>
              </w:rPr>
              <w:t xml:space="preserve"> (</w:t>
            </w:r>
            <w:r w:rsidRPr="00945803">
              <w:rPr>
                <w:rStyle w:val="FontStyle84"/>
              </w:rPr>
              <w:t>C$)</w:t>
            </w:r>
          </w:p>
        </w:tc>
        <w:tc>
          <w:tcPr>
            <w:tcW w:w="1843" w:type="dxa"/>
            <w:tcBorders>
              <w:top w:val="single" w:sz="6" w:space="0" w:color="auto"/>
              <w:left w:val="single" w:sz="6" w:space="0" w:color="auto"/>
              <w:bottom w:val="single" w:sz="6" w:space="0" w:color="auto"/>
              <w:right w:val="single" w:sz="6" w:space="0" w:color="auto"/>
            </w:tcBorders>
            <w:vAlign w:val="center"/>
          </w:tcPr>
          <w:p w:rsidR="00EF4B60" w:rsidRPr="001735F9" w:rsidRDefault="00EF4B60" w:rsidP="00F51C52">
            <w:pPr>
              <w:pStyle w:val="Style30"/>
              <w:widowControl/>
              <w:ind w:firstLine="10"/>
              <w:rPr>
                <w:rStyle w:val="FontStyle84"/>
              </w:rPr>
            </w:pPr>
            <w:r>
              <w:rPr>
                <w:rStyle w:val="FontStyle84"/>
              </w:rPr>
              <w:t>Monto de la demanda (US$)</w:t>
            </w:r>
          </w:p>
        </w:tc>
      </w:tr>
      <w:tr w:rsidR="00EF4B60" w:rsidRPr="001735F9" w:rsidTr="0076311D">
        <w:tblPrEx>
          <w:tblCellMar>
            <w:top w:w="0" w:type="dxa"/>
            <w:bottom w:w="0" w:type="dxa"/>
          </w:tblCellMar>
        </w:tblPrEx>
        <w:trPr>
          <w:cantSplit/>
        </w:trPr>
        <w:tc>
          <w:tcPr>
            <w:tcW w:w="1555"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Párrafos 15, 16</w:t>
            </w:r>
          </w:p>
        </w:tc>
        <w:tc>
          <w:tcPr>
            <w:tcW w:w="4257"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line="259" w:lineRule="exact"/>
              <w:ind w:right="571" w:firstLine="19"/>
              <w:rPr>
                <w:rStyle w:val="FontStyle84"/>
              </w:rPr>
            </w:pPr>
            <w:r>
              <w:rPr>
                <w:rStyle w:val="FontStyle84"/>
              </w:rPr>
              <w:t>Transferencia de fondos del Fideicomisario (Deutschmann &amp; Kelly) a Jameson International Foreign Exchange Corporation (“Jameson”) y de Jameson a Voisin Lubczuk</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$351,780.00</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r>
      <w:tr w:rsidR="00EF4B60" w:rsidRPr="001735F9" w:rsidTr="0076311D">
        <w:tblPrEx>
          <w:tblCellMar>
            <w:top w:w="0" w:type="dxa"/>
            <w:bottom w:w="0" w:type="dxa"/>
          </w:tblCellMar>
        </w:tblPrEx>
        <w:trPr>
          <w:cantSplit/>
        </w:trPr>
        <w:tc>
          <w:tcPr>
            <w:tcW w:w="1555"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16"/>
              <w:widowControl/>
              <w:spacing w:line="240" w:lineRule="auto"/>
              <w:ind w:left="5" w:hanging="5"/>
              <w:rPr>
                <w:rStyle w:val="FontStyle84"/>
              </w:rPr>
            </w:pPr>
            <w:r>
              <w:rPr>
                <w:rStyle w:val="FontStyle84"/>
              </w:rPr>
              <w:t>Párrafos 17, 18</w:t>
            </w:r>
          </w:p>
        </w:tc>
        <w:tc>
          <w:tcPr>
            <w:tcW w:w="4257" w:type="dxa"/>
            <w:tcBorders>
              <w:top w:val="single" w:sz="6" w:space="0" w:color="auto"/>
              <w:left w:val="single" w:sz="6" w:space="0" w:color="auto"/>
              <w:bottom w:val="single" w:sz="6" w:space="0" w:color="auto"/>
              <w:right w:val="single" w:sz="6" w:space="0" w:color="auto"/>
            </w:tcBorders>
            <w:vAlign w:val="center"/>
          </w:tcPr>
          <w:p w:rsidR="00EF4B60" w:rsidRPr="001735F9" w:rsidRDefault="00EF4B60" w:rsidP="00F51C52">
            <w:pPr>
              <w:pStyle w:val="Style30"/>
              <w:widowControl/>
              <w:spacing w:after="80"/>
              <w:ind w:right="461"/>
              <w:rPr>
                <w:rStyle w:val="FontStyle84"/>
              </w:rPr>
            </w:pPr>
            <w:r>
              <w:rPr>
                <w:rStyle w:val="FontStyle84"/>
              </w:rPr>
              <w:t>Transferencia de la Póliza EJ-367 (Elizabeth Jampol) de USI a Martina (sin pago alguno a USI por el precio de compra de la Póliza)</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c>
          <w:tcPr>
            <w:tcW w:w="1843" w:type="dxa"/>
            <w:tcBorders>
              <w:top w:val="single" w:sz="6" w:space="0" w:color="auto"/>
              <w:left w:val="single" w:sz="6" w:space="0" w:color="auto"/>
              <w:bottom w:val="single" w:sz="6" w:space="0" w:color="auto"/>
              <w:right w:val="single" w:sz="6" w:space="0" w:color="auto"/>
            </w:tcBorders>
            <w:vAlign w:val="center"/>
          </w:tcPr>
          <w:p w:rsidR="00EF4B60" w:rsidRPr="001735F9" w:rsidRDefault="00EF4B60" w:rsidP="00F51C52">
            <w:pPr>
              <w:pStyle w:val="Style30"/>
              <w:widowControl/>
              <w:spacing w:line="240" w:lineRule="auto"/>
              <w:rPr>
                <w:rStyle w:val="FontStyle84"/>
              </w:rPr>
            </w:pPr>
            <w:r>
              <w:rPr>
                <w:rStyle w:val="FontStyle84"/>
              </w:rPr>
              <w:t>$290,000.00</w:t>
            </w:r>
          </w:p>
        </w:tc>
      </w:tr>
      <w:tr w:rsidR="00EF4B60" w:rsidRPr="001735F9" w:rsidTr="0076311D">
        <w:tblPrEx>
          <w:tblCellMar>
            <w:top w:w="0" w:type="dxa"/>
            <w:bottom w:w="0" w:type="dxa"/>
          </w:tblCellMar>
        </w:tblPrEx>
        <w:trPr>
          <w:cantSplit/>
        </w:trPr>
        <w:tc>
          <w:tcPr>
            <w:tcW w:w="1555"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Párrafo 20(b)</w:t>
            </w:r>
          </w:p>
        </w:tc>
        <w:tc>
          <w:tcPr>
            <w:tcW w:w="4257"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ind w:left="24" w:hanging="24"/>
              <w:rPr>
                <w:rStyle w:val="FontStyle84"/>
              </w:rPr>
            </w:pPr>
            <w:r>
              <w:rPr>
                <w:rStyle w:val="FontStyle84"/>
              </w:rPr>
              <w:t>Pago de indemnizaciones por muerte sobre la Póliza JS-323 a los padres</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$569,500.00</w:t>
            </w:r>
          </w:p>
        </w:tc>
      </w:tr>
      <w:tr w:rsidR="00EF4B60" w:rsidRPr="001735F9" w:rsidTr="0076311D">
        <w:tblPrEx>
          <w:tblCellMar>
            <w:top w:w="0" w:type="dxa"/>
            <w:bottom w:w="0" w:type="dxa"/>
          </w:tblCellMar>
        </w:tblPrEx>
        <w:trPr>
          <w:cantSplit/>
        </w:trPr>
        <w:tc>
          <w:tcPr>
            <w:tcW w:w="1555"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Párrafo 20(j)</w:t>
            </w:r>
          </w:p>
        </w:tc>
        <w:tc>
          <w:tcPr>
            <w:tcW w:w="4257"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line="259" w:lineRule="exact"/>
              <w:ind w:right="749" w:firstLine="14"/>
              <w:rPr>
                <w:rStyle w:val="FontStyle84"/>
              </w:rPr>
            </w:pPr>
            <w:r>
              <w:rPr>
                <w:rStyle w:val="FontStyle84"/>
              </w:rPr>
              <w:t>Malversación de los fondos de la Póliza Van Deusen a partir de la cuenta de fideicomiso austriaca</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$103,025.20</w:t>
            </w:r>
          </w:p>
        </w:tc>
      </w:tr>
      <w:tr w:rsidR="00EF4B60" w:rsidRPr="001735F9" w:rsidTr="0076311D">
        <w:tblPrEx>
          <w:tblCellMar>
            <w:top w:w="0" w:type="dxa"/>
            <w:bottom w:w="0" w:type="dxa"/>
          </w:tblCellMar>
        </w:tblPrEx>
        <w:trPr>
          <w:cantSplit/>
        </w:trPr>
        <w:tc>
          <w:tcPr>
            <w:tcW w:w="1555"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16"/>
              <w:widowControl/>
              <w:spacing w:line="240" w:lineRule="auto"/>
              <w:ind w:right="379" w:firstLine="14"/>
              <w:rPr>
                <w:rStyle w:val="FontStyle84"/>
              </w:rPr>
            </w:pPr>
            <w:r>
              <w:rPr>
                <w:rStyle w:val="FontStyle84"/>
              </w:rPr>
              <w:t>Párrafos 21 - 26(c)</w:t>
            </w:r>
          </w:p>
        </w:tc>
        <w:tc>
          <w:tcPr>
            <w:tcW w:w="4257" w:type="dxa"/>
            <w:tcBorders>
              <w:top w:val="single" w:sz="6" w:space="0" w:color="auto"/>
              <w:left w:val="single" w:sz="6" w:space="0" w:color="auto"/>
              <w:bottom w:val="single" w:sz="6" w:space="0" w:color="auto"/>
              <w:right w:val="single" w:sz="6" w:space="0" w:color="auto"/>
            </w:tcBorders>
            <w:vAlign w:val="center"/>
          </w:tcPr>
          <w:p w:rsidR="00EF4B60" w:rsidRPr="001735F9" w:rsidRDefault="00EF4B60" w:rsidP="00F51C52">
            <w:pPr>
              <w:pStyle w:val="Style30"/>
              <w:widowControl/>
              <w:spacing w:after="80" w:line="259" w:lineRule="exact"/>
              <w:ind w:right="490" w:firstLine="19"/>
              <w:rPr>
                <w:rStyle w:val="FontStyle84"/>
              </w:rPr>
            </w:pPr>
            <w:r>
              <w:rPr>
                <w:rStyle w:val="FontStyle84"/>
              </w:rPr>
              <w:t>“Soborno” proveniente de los ingresos destinados a la compra del Portafolio TPI por parte de USI</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c>
          <w:tcPr>
            <w:tcW w:w="1843" w:type="dxa"/>
            <w:tcBorders>
              <w:top w:val="single" w:sz="6" w:space="0" w:color="auto"/>
              <w:left w:val="single" w:sz="6" w:space="0" w:color="auto"/>
              <w:bottom w:val="single" w:sz="6" w:space="0" w:color="auto"/>
              <w:right w:val="single" w:sz="6" w:space="0" w:color="auto"/>
            </w:tcBorders>
            <w:vAlign w:val="center"/>
          </w:tcPr>
          <w:p w:rsidR="00EF4B60" w:rsidRPr="001735F9" w:rsidRDefault="00EF4B60" w:rsidP="00F51C52">
            <w:pPr>
              <w:pStyle w:val="Style30"/>
              <w:widowControl/>
              <w:spacing w:line="240" w:lineRule="auto"/>
              <w:rPr>
                <w:rStyle w:val="FontStyle84"/>
              </w:rPr>
            </w:pPr>
            <w:r>
              <w:rPr>
                <w:rStyle w:val="FontStyle84"/>
              </w:rPr>
              <w:t>$1,000,000.00</w:t>
            </w:r>
          </w:p>
        </w:tc>
      </w:tr>
      <w:tr w:rsidR="00EF4B60" w:rsidRPr="001735F9" w:rsidTr="0076311D">
        <w:tblPrEx>
          <w:tblCellMar>
            <w:top w:w="0" w:type="dxa"/>
            <w:bottom w:w="0" w:type="dxa"/>
          </w:tblCellMar>
        </w:tblPrEx>
        <w:trPr>
          <w:cantSplit/>
        </w:trPr>
        <w:tc>
          <w:tcPr>
            <w:tcW w:w="1555"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16"/>
              <w:widowControl/>
              <w:spacing w:line="240" w:lineRule="auto"/>
              <w:ind w:right="384" w:firstLine="10"/>
              <w:rPr>
                <w:rStyle w:val="FontStyle84"/>
              </w:rPr>
            </w:pPr>
            <w:r>
              <w:rPr>
                <w:rStyle w:val="FontStyle84"/>
              </w:rPr>
              <w:t>Párrafos 44 - 53</w:t>
            </w:r>
          </w:p>
        </w:tc>
        <w:tc>
          <w:tcPr>
            <w:tcW w:w="4257"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ind w:right="490" w:firstLine="14"/>
              <w:rPr>
                <w:rStyle w:val="FontStyle84"/>
              </w:rPr>
            </w:pPr>
            <w:r>
              <w:rPr>
                <w:rStyle w:val="FontStyle84"/>
              </w:rPr>
              <w:t>Comisiones excesivas pagadas como consecuencia de los acuerdos celebrados con Phoenix Rising Enterprises LLC</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$404,412.00</w:t>
            </w:r>
          </w:p>
        </w:tc>
      </w:tr>
      <w:tr w:rsidR="00EF4B60" w:rsidRPr="001735F9" w:rsidTr="0076311D">
        <w:tblPrEx>
          <w:tblCellMar>
            <w:top w:w="0" w:type="dxa"/>
            <w:bottom w:w="0" w:type="dxa"/>
          </w:tblCellMar>
        </w:tblPrEx>
        <w:trPr>
          <w:cantSplit/>
        </w:trPr>
        <w:tc>
          <w:tcPr>
            <w:tcW w:w="1555"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16"/>
              <w:widowControl/>
              <w:spacing w:line="240" w:lineRule="auto"/>
              <w:ind w:right="389" w:firstLine="10"/>
              <w:rPr>
                <w:rStyle w:val="FontStyle84"/>
              </w:rPr>
            </w:pPr>
            <w:r>
              <w:rPr>
                <w:rStyle w:val="FontStyle84"/>
              </w:rPr>
              <w:t>Párrafos 44 - 53</w:t>
            </w:r>
          </w:p>
        </w:tc>
        <w:tc>
          <w:tcPr>
            <w:tcW w:w="4257"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line="259" w:lineRule="exact"/>
              <w:ind w:right="715" w:firstLine="5"/>
              <w:rPr>
                <w:rStyle w:val="FontStyle84"/>
              </w:rPr>
            </w:pPr>
            <w:r>
              <w:rPr>
                <w:rStyle w:val="FontStyle84"/>
              </w:rPr>
              <w:t>Malversación de los fondos recibidos con respecto a la reinversión en Phoenix Rising</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$88,958.00</w:t>
            </w:r>
          </w:p>
        </w:tc>
      </w:tr>
      <w:tr w:rsidR="00EF4B60" w:rsidRPr="001735F9" w:rsidTr="0076311D">
        <w:tblPrEx>
          <w:tblCellMar>
            <w:top w:w="0" w:type="dxa"/>
            <w:bottom w:w="0" w:type="dxa"/>
          </w:tblCellMar>
        </w:tblPrEx>
        <w:trPr>
          <w:cantSplit/>
        </w:trPr>
        <w:tc>
          <w:tcPr>
            <w:tcW w:w="1555"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16"/>
              <w:widowControl/>
              <w:spacing w:line="240" w:lineRule="auto"/>
              <w:ind w:right="389" w:firstLine="5"/>
              <w:rPr>
                <w:rStyle w:val="FontStyle84"/>
              </w:rPr>
            </w:pPr>
            <w:r>
              <w:rPr>
                <w:rStyle w:val="FontStyle84"/>
              </w:rPr>
              <w:t>Párrafos 54 - 59</w:t>
            </w:r>
          </w:p>
        </w:tc>
        <w:tc>
          <w:tcPr>
            <w:tcW w:w="4257"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line="259" w:lineRule="exact"/>
              <w:ind w:right="538" w:firstLine="5"/>
              <w:rPr>
                <w:rStyle w:val="FontStyle84"/>
              </w:rPr>
            </w:pPr>
            <w:r>
              <w:rPr>
                <w:rStyle w:val="FontStyle84"/>
              </w:rPr>
              <w:t>Malversación de los ingresos provenientes de la Póliza Tilton</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$1,500,000.00</w:t>
            </w:r>
          </w:p>
        </w:tc>
      </w:tr>
      <w:tr w:rsidR="00EF4B60" w:rsidRPr="001735F9" w:rsidTr="0076311D">
        <w:tblPrEx>
          <w:tblCellMar>
            <w:top w:w="0" w:type="dxa"/>
            <w:bottom w:w="0" w:type="dxa"/>
          </w:tblCellMar>
        </w:tblPrEx>
        <w:trPr>
          <w:cantSplit/>
        </w:trPr>
        <w:tc>
          <w:tcPr>
            <w:tcW w:w="1555"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Párrafo 20(a)</w:t>
            </w:r>
          </w:p>
        </w:tc>
        <w:tc>
          <w:tcPr>
            <w:tcW w:w="4257"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ind w:right="749"/>
              <w:rPr>
                <w:rStyle w:val="FontStyle84"/>
              </w:rPr>
            </w:pPr>
            <w:r>
              <w:rPr>
                <w:rStyle w:val="FontStyle84"/>
              </w:rPr>
              <w:t>Pago no autorizado de indemnizaciones de póliza a un familiar (Póliza CE 302)</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$9,774.80</w:t>
            </w:r>
          </w:p>
        </w:tc>
      </w:tr>
      <w:tr w:rsidR="00EF4B60" w:rsidRPr="001735F9" w:rsidTr="0076311D">
        <w:tblPrEx>
          <w:tblCellMar>
            <w:top w:w="0" w:type="dxa"/>
            <w:bottom w:w="0" w:type="dxa"/>
          </w:tblCellMar>
        </w:tblPrEx>
        <w:trPr>
          <w:cantSplit/>
        </w:trPr>
        <w:tc>
          <w:tcPr>
            <w:tcW w:w="1555"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lastRenderedPageBreak/>
              <w:t>Párrafo 20(c)</w:t>
            </w:r>
          </w:p>
        </w:tc>
        <w:tc>
          <w:tcPr>
            <w:tcW w:w="4257"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ind w:right="754"/>
              <w:rPr>
                <w:rStyle w:val="FontStyle84"/>
              </w:rPr>
            </w:pPr>
            <w:r>
              <w:rPr>
                <w:rStyle w:val="FontStyle84"/>
              </w:rPr>
              <w:t>Pago no autorizado de indemnizaciones de póliza a un familiar (Póliza HC 261)</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$4,014.22</w:t>
            </w:r>
          </w:p>
        </w:tc>
      </w:tr>
      <w:tr w:rsidR="00EF4B60" w:rsidRPr="001735F9" w:rsidTr="0076311D">
        <w:tblPrEx>
          <w:tblCellMar>
            <w:top w:w="0" w:type="dxa"/>
            <w:bottom w:w="0" w:type="dxa"/>
          </w:tblCellMar>
        </w:tblPrEx>
        <w:trPr>
          <w:cantSplit/>
        </w:trPr>
        <w:tc>
          <w:tcPr>
            <w:tcW w:w="1555"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Párrafo 20(d)</w:t>
            </w:r>
          </w:p>
        </w:tc>
        <w:tc>
          <w:tcPr>
            <w:tcW w:w="4257"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ind w:left="5" w:hanging="5"/>
              <w:rPr>
                <w:rStyle w:val="FontStyle84"/>
              </w:rPr>
            </w:pPr>
            <w:r>
              <w:rPr>
                <w:rStyle w:val="FontStyle84"/>
              </w:rPr>
              <w:t>Pago no autorizado de indemnizaciones de póliza a sí mismo (Póliza DP 284)</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$2,180.00</w:t>
            </w:r>
          </w:p>
        </w:tc>
      </w:tr>
      <w:tr w:rsidR="00EF4B60" w:rsidRPr="001735F9" w:rsidTr="0076311D">
        <w:tblPrEx>
          <w:tblCellMar>
            <w:top w:w="0" w:type="dxa"/>
            <w:bottom w:w="0" w:type="dxa"/>
          </w:tblCellMar>
        </w:tblPrEx>
        <w:trPr>
          <w:cantSplit/>
        </w:trPr>
        <w:tc>
          <w:tcPr>
            <w:tcW w:w="1555"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Párrafo 20(e)</w:t>
            </w:r>
          </w:p>
        </w:tc>
        <w:tc>
          <w:tcPr>
            <w:tcW w:w="4257"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ind w:left="10" w:hanging="10"/>
              <w:rPr>
                <w:rStyle w:val="FontStyle84"/>
              </w:rPr>
            </w:pPr>
            <w:r>
              <w:rPr>
                <w:rStyle w:val="FontStyle84"/>
              </w:rPr>
              <w:t>Pago no autorizado de indemnizaciones de póliza a sí mismo (Póliza MB 320)</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$65,105.87</w:t>
            </w:r>
          </w:p>
        </w:tc>
      </w:tr>
      <w:tr w:rsidR="00EF4B60" w:rsidRPr="001735F9" w:rsidTr="0076311D">
        <w:tblPrEx>
          <w:tblCellMar>
            <w:top w:w="0" w:type="dxa"/>
            <w:bottom w:w="0" w:type="dxa"/>
          </w:tblCellMar>
        </w:tblPrEx>
        <w:trPr>
          <w:cantSplit/>
        </w:trPr>
        <w:tc>
          <w:tcPr>
            <w:tcW w:w="1555"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Párrafo 20(f)</w:t>
            </w:r>
          </w:p>
        </w:tc>
        <w:tc>
          <w:tcPr>
            <w:tcW w:w="4257" w:type="dxa"/>
            <w:tcBorders>
              <w:top w:val="single" w:sz="6" w:space="0" w:color="auto"/>
              <w:left w:val="single" w:sz="6" w:space="0" w:color="auto"/>
              <w:bottom w:val="single" w:sz="6" w:space="0" w:color="auto"/>
              <w:right w:val="single" w:sz="6" w:space="0" w:color="auto"/>
            </w:tcBorders>
            <w:vAlign w:val="center"/>
          </w:tcPr>
          <w:p w:rsidR="00EF4B60" w:rsidRPr="001735F9" w:rsidRDefault="00EF4B60" w:rsidP="00F51C52">
            <w:pPr>
              <w:pStyle w:val="Style30"/>
              <w:widowControl/>
              <w:spacing w:after="80"/>
              <w:ind w:left="29" w:hanging="29"/>
              <w:rPr>
                <w:rStyle w:val="FontStyle84"/>
              </w:rPr>
            </w:pPr>
            <w:r>
              <w:rPr>
                <w:rStyle w:val="FontStyle84"/>
              </w:rPr>
              <w:t>Pago no autorizado de indemnizaciones de póliza a un familiar (Póliza TS 281)</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c>
          <w:tcPr>
            <w:tcW w:w="1843" w:type="dxa"/>
            <w:tcBorders>
              <w:top w:val="single" w:sz="6" w:space="0" w:color="auto"/>
              <w:left w:val="single" w:sz="6" w:space="0" w:color="auto"/>
              <w:bottom w:val="single" w:sz="6" w:space="0" w:color="auto"/>
              <w:right w:val="single" w:sz="6" w:space="0" w:color="auto"/>
            </w:tcBorders>
            <w:vAlign w:val="center"/>
          </w:tcPr>
          <w:p w:rsidR="00EF4B60" w:rsidRPr="001735F9" w:rsidRDefault="00EF4B60" w:rsidP="00F51C52">
            <w:pPr>
              <w:pStyle w:val="Style30"/>
              <w:widowControl/>
              <w:spacing w:line="240" w:lineRule="auto"/>
              <w:rPr>
                <w:rStyle w:val="FontStyle84"/>
              </w:rPr>
            </w:pPr>
            <w:r>
              <w:rPr>
                <w:rStyle w:val="FontStyle84"/>
              </w:rPr>
              <w:t>$1,376.83</w:t>
            </w:r>
          </w:p>
        </w:tc>
      </w:tr>
      <w:tr w:rsidR="00EF4B60" w:rsidRPr="001735F9" w:rsidTr="0076311D">
        <w:tblPrEx>
          <w:tblCellMar>
            <w:top w:w="0" w:type="dxa"/>
            <w:bottom w:w="0" w:type="dxa"/>
          </w:tblCellMar>
        </w:tblPrEx>
        <w:trPr>
          <w:cantSplit/>
        </w:trPr>
        <w:tc>
          <w:tcPr>
            <w:tcW w:w="1555"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Párrafo 20(g)</w:t>
            </w:r>
          </w:p>
        </w:tc>
        <w:tc>
          <w:tcPr>
            <w:tcW w:w="4257"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line="259" w:lineRule="exact"/>
              <w:ind w:left="29" w:hanging="29"/>
              <w:rPr>
                <w:rStyle w:val="FontStyle84"/>
              </w:rPr>
            </w:pPr>
            <w:r>
              <w:rPr>
                <w:rStyle w:val="FontStyle84"/>
              </w:rPr>
              <w:t>Pago no autorizado de indemnizaciones de póliza a sí mismo (Póliza FK 357)</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$515,528.43</w:t>
            </w:r>
          </w:p>
        </w:tc>
      </w:tr>
      <w:tr w:rsidR="00EF4B60" w:rsidRPr="001735F9" w:rsidTr="0076311D">
        <w:tblPrEx>
          <w:tblCellMar>
            <w:top w:w="0" w:type="dxa"/>
            <w:bottom w:w="0" w:type="dxa"/>
          </w:tblCellMar>
        </w:tblPrEx>
        <w:trPr>
          <w:cantSplit/>
        </w:trPr>
        <w:tc>
          <w:tcPr>
            <w:tcW w:w="1555"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Párrafo 20(h)</w:t>
            </w:r>
          </w:p>
        </w:tc>
        <w:tc>
          <w:tcPr>
            <w:tcW w:w="4257"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line="259" w:lineRule="exact"/>
              <w:ind w:left="29" w:hanging="29"/>
              <w:rPr>
                <w:rStyle w:val="FontStyle84"/>
              </w:rPr>
            </w:pPr>
            <w:r>
              <w:rPr>
                <w:rStyle w:val="FontStyle84"/>
              </w:rPr>
              <w:t>Pago no autorizado de indemnizaciones de póliza a sí mismo (Póliza SP 403)</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$25,000.00</w:t>
            </w:r>
          </w:p>
        </w:tc>
      </w:tr>
      <w:tr w:rsidR="00EF4B60" w:rsidRPr="001735F9" w:rsidTr="0076311D">
        <w:tblPrEx>
          <w:tblCellMar>
            <w:top w:w="0" w:type="dxa"/>
            <w:bottom w:w="0" w:type="dxa"/>
          </w:tblCellMar>
        </w:tblPrEx>
        <w:trPr>
          <w:cantSplit/>
        </w:trPr>
        <w:tc>
          <w:tcPr>
            <w:tcW w:w="1560"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line="240" w:lineRule="auto"/>
              <w:rPr>
                <w:rStyle w:val="FontStyle84"/>
              </w:rPr>
            </w:pPr>
            <w:r>
              <w:rPr>
                <w:rStyle w:val="FontStyle84"/>
              </w:rPr>
              <w:t>Párrafo 20(i)</w:t>
            </w:r>
          </w:p>
        </w:tc>
        <w:tc>
          <w:tcPr>
            <w:tcW w:w="4252"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ind w:right="749" w:firstLine="14"/>
              <w:rPr>
                <w:rStyle w:val="FontStyle84"/>
              </w:rPr>
            </w:pPr>
            <w:r>
              <w:rPr>
                <w:rStyle w:val="FontStyle84"/>
              </w:rPr>
              <w:t>Pago no autorizado de indemnizaciones de póliza a sí mismo (Póliza HM 429)</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$42,506.24</w:t>
            </w:r>
          </w:p>
        </w:tc>
      </w:tr>
      <w:tr w:rsidR="00EF4B60" w:rsidRPr="001735F9" w:rsidTr="0076311D">
        <w:tblPrEx>
          <w:tblCellMar>
            <w:top w:w="0" w:type="dxa"/>
            <w:bottom w:w="0" w:type="dxa"/>
          </w:tblCellMar>
        </w:tblPrEx>
        <w:trPr>
          <w:cantSplit/>
        </w:trPr>
        <w:tc>
          <w:tcPr>
            <w:tcW w:w="1560"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line="240" w:lineRule="auto"/>
              <w:rPr>
                <w:rStyle w:val="FontStyle84"/>
              </w:rPr>
            </w:pPr>
            <w:r>
              <w:rPr>
                <w:rStyle w:val="FontStyle84"/>
              </w:rPr>
              <w:t>Párrafo 33</w:t>
            </w:r>
          </w:p>
        </w:tc>
        <w:tc>
          <w:tcPr>
            <w:tcW w:w="4252"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ind w:right="706" w:firstLine="14"/>
              <w:rPr>
                <w:rStyle w:val="FontStyle84"/>
              </w:rPr>
            </w:pPr>
            <w:r>
              <w:rPr>
                <w:rStyle w:val="FontStyle84"/>
              </w:rPr>
              <w:t>Pagos no autorizados a familiares</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$10,000.00</w:t>
            </w:r>
          </w:p>
        </w:tc>
      </w:tr>
      <w:tr w:rsidR="00EF4B60" w:rsidRPr="001735F9" w:rsidTr="0076311D">
        <w:tblPrEx>
          <w:tblCellMar>
            <w:top w:w="0" w:type="dxa"/>
            <w:bottom w:w="0" w:type="dxa"/>
          </w:tblCellMar>
        </w:tblPrEx>
        <w:trPr>
          <w:cantSplit/>
        </w:trPr>
        <w:tc>
          <w:tcPr>
            <w:tcW w:w="1560"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line="240" w:lineRule="auto"/>
              <w:rPr>
                <w:rStyle w:val="FontStyle84"/>
              </w:rPr>
            </w:pPr>
            <w:r>
              <w:rPr>
                <w:rStyle w:val="FontStyle84"/>
              </w:rPr>
              <w:t>Párrafo 34</w:t>
            </w:r>
          </w:p>
        </w:tc>
        <w:tc>
          <w:tcPr>
            <w:tcW w:w="4252"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ind w:right="710" w:firstLine="5"/>
              <w:rPr>
                <w:rStyle w:val="FontStyle84"/>
              </w:rPr>
            </w:pPr>
            <w:r>
              <w:rPr>
                <w:rStyle w:val="FontStyle84"/>
              </w:rPr>
              <w:t>Pagos no autorizados a sí mismo</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$28,775.58</w:t>
            </w:r>
          </w:p>
        </w:tc>
      </w:tr>
      <w:tr w:rsidR="00EF4B60" w:rsidRPr="001735F9" w:rsidTr="0076311D">
        <w:tblPrEx>
          <w:tblCellMar>
            <w:top w:w="0" w:type="dxa"/>
            <w:bottom w:w="0" w:type="dxa"/>
          </w:tblCellMar>
        </w:tblPrEx>
        <w:trPr>
          <w:cantSplit/>
        </w:trPr>
        <w:tc>
          <w:tcPr>
            <w:tcW w:w="1560"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line="240" w:lineRule="auto"/>
              <w:rPr>
                <w:rStyle w:val="FontStyle84"/>
              </w:rPr>
            </w:pPr>
            <w:r>
              <w:rPr>
                <w:rStyle w:val="FontStyle84"/>
              </w:rPr>
              <w:t>Párrafo 35</w:t>
            </w:r>
          </w:p>
        </w:tc>
        <w:tc>
          <w:tcPr>
            <w:tcW w:w="4252" w:type="dxa"/>
            <w:tcBorders>
              <w:top w:val="single" w:sz="6" w:space="0" w:color="auto"/>
              <w:left w:val="single" w:sz="6" w:space="0" w:color="auto"/>
              <w:bottom w:val="single" w:sz="6" w:space="0" w:color="auto"/>
              <w:right w:val="single" w:sz="6" w:space="0" w:color="auto"/>
            </w:tcBorders>
          </w:tcPr>
          <w:p w:rsidR="00EF4B60" w:rsidRPr="008D7DDC" w:rsidRDefault="00EF4B60" w:rsidP="00F51C52">
            <w:pPr>
              <w:pStyle w:val="Style30"/>
              <w:widowControl/>
              <w:spacing w:after="80"/>
              <w:ind w:right="902" w:firstLine="5"/>
              <w:rPr>
                <w:rStyle w:val="FontStyle84"/>
                <w:lang w:val="en-US"/>
              </w:rPr>
            </w:pPr>
            <w:r w:rsidRPr="008D7DDC">
              <w:rPr>
                <w:rStyle w:val="FontStyle84"/>
                <w:lang w:val="en-US"/>
              </w:rPr>
              <w:t>Pago a Synergy Acceptance Corporation</w:t>
            </w:r>
          </w:p>
        </w:tc>
        <w:tc>
          <w:tcPr>
            <w:tcW w:w="1843" w:type="dxa"/>
            <w:tcBorders>
              <w:top w:val="single" w:sz="6" w:space="0" w:color="auto"/>
              <w:left w:val="single" w:sz="6" w:space="0" w:color="auto"/>
              <w:bottom w:val="single" w:sz="6" w:space="0" w:color="auto"/>
              <w:right w:val="single" w:sz="6" w:space="0" w:color="auto"/>
            </w:tcBorders>
          </w:tcPr>
          <w:p w:rsidR="00EF4B60" w:rsidRPr="008D7DDC" w:rsidRDefault="00EF4B60" w:rsidP="00F51C52">
            <w:pPr>
              <w:pStyle w:val="Style40"/>
              <w:widowControl/>
              <w:rPr>
                <w:lang w:val="en-US"/>
              </w:rPr>
            </w:pP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$100,000.00</w:t>
            </w:r>
          </w:p>
        </w:tc>
      </w:tr>
      <w:tr w:rsidR="00EF4B60" w:rsidRPr="001735F9" w:rsidTr="0076311D">
        <w:tblPrEx>
          <w:tblCellMar>
            <w:top w:w="0" w:type="dxa"/>
            <w:bottom w:w="0" w:type="dxa"/>
          </w:tblCellMar>
        </w:tblPrEx>
        <w:trPr>
          <w:cantSplit/>
        </w:trPr>
        <w:tc>
          <w:tcPr>
            <w:tcW w:w="1560"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line="240" w:lineRule="auto"/>
              <w:rPr>
                <w:rStyle w:val="FontStyle84"/>
              </w:rPr>
            </w:pPr>
            <w:r>
              <w:rPr>
                <w:rStyle w:val="FontStyle84"/>
              </w:rPr>
              <w:t>Párrafo 37</w:t>
            </w:r>
          </w:p>
        </w:tc>
        <w:tc>
          <w:tcPr>
            <w:tcW w:w="4252"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line="259" w:lineRule="exact"/>
              <w:ind w:left="5" w:hanging="5"/>
              <w:rPr>
                <w:rStyle w:val="FontStyle84"/>
              </w:rPr>
            </w:pPr>
            <w:r>
              <w:rPr>
                <w:rStyle w:val="FontStyle84"/>
              </w:rPr>
              <w:t>Pagos a Duscio a través de Custom House Ltd.</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$130,000.00</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r>
      <w:tr w:rsidR="00EF4B60" w:rsidRPr="001735F9" w:rsidTr="0076311D">
        <w:tblPrEx>
          <w:tblCellMar>
            <w:top w:w="0" w:type="dxa"/>
            <w:bottom w:w="0" w:type="dxa"/>
          </w:tblCellMar>
        </w:tblPrEx>
        <w:trPr>
          <w:cantSplit/>
        </w:trPr>
        <w:tc>
          <w:tcPr>
            <w:tcW w:w="1560"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line="240" w:lineRule="auto"/>
              <w:rPr>
                <w:rStyle w:val="FontStyle84"/>
              </w:rPr>
            </w:pPr>
            <w:r>
              <w:rPr>
                <w:rStyle w:val="FontStyle84"/>
              </w:rPr>
              <w:t>Párrafo 38</w:t>
            </w:r>
          </w:p>
        </w:tc>
        <w:tc>
          <w:tcPr>
            <w:tcW w:w="4252"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line="259" w:lineRule="exact"/>
              <w:ind w:left="5" w:hanging="5"/>
              <w:rPr>
                <w:rStyle w:val="FontStyle84"/>
              </w:rPr>
            </w:pPr>
            <w:r>
              <w:rPr>
                <w:rStyle w:val="FontStyle84"/>
              </w:rPr>
              <w:t>Pago no autorizado de gastos personales (teléfono celular, teléfono de su casa, gasolina)</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$37,153.35</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r>
      <w:tr w:rsidR="00EF4B60" w:rsidRPr="001735F9" w:rsidTr="0076311D">
        <w:tblPrEx>
          <w:tblCellMar>
            <w:top w:w="0" w:type="dxa"/>
            <w:bottom w:w="0" w:type="dxa"/>
          </w:tblCellMar>
        </w:tblPrEx>
        <w:trPr>
          <w:cantSplit/>
        </w:trPr>
        <w:tc>
          <w:tcPr>
            <w:tcW w:w="1560"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line="240" w:lineRule="auto"/>
              <w:rPr>
                <w:rStyle w:val="FontStyle84"/>
              </w:rPr>
            </w:pPr>
            <w:r>
              <w:rPr>
                <w:rStyle w:val="FontStyle84"/>
              </w:rPr>
              <w:t>Párrafo 39</w:t>
            </w:r>
          </w:p>
        </w:tc>
        <w:tc>
          <w:tcPr>
            <w:tcW w:w="4252"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after="80"/>
              <w:ind w:left="5" w:hanging="5"/>
              <w:rPr>
                <w:rStyle w:val="FontStyle84"/>
              </w:rPr>
            </w:pPr>
            <w:r>
              <w:rPr>
                <w:rStyle w:val="FontStyle84"/>
              </w:rPr>
              <w:t>Pago no autorizado de gastos personales (automóvil)</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30"/>
              <w:widowControl/>
              <w:spacing w:line="240" w:lineRule="auto"/>
              <w:rPr>
                <w:rStyle w:val="FontStyle84"/>
              </w:rPr>
            </w:pPr>
            <w:r>
              <w:rPr>
                <w:rStyle w:val="FontStyle84"/>
              </w:rPr>
              <w:t>$2,155.00</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51C52">
            <w:pPr>
              <w:pStyle w:val="Style40"/>
              <w:widowControl/>
            </w:pPr>
          </w:p>
        </w:tc>
      </w:tr>
      <w:tr w:rsidR="00EF4B60" w:rsidRPr="001735F9" w:rsidTr="0076311D">
        <w:tblPrEx>
          <w:tblCellMar>
            <w:top w:w="0" w:type="dxa"/>
            <w:bottom w:w="0" w:type="dxa"/>
          </w:tblCellMar>
        </w:tblPrEx>
        <w:trPr>
          <w:cantSplit/>
        </w:trPr>
        <w:tc>
          <w:tcPr>
            <w:tcW w:w="1560" w:type="dxa"/>
            <w:tcBorders>
              <w:top w:val="single" w:sz="6" w:space="0" w:color="auto"/>
              <w:left w:val="single" w:sz="6" w:space="0" w:color="auto"/>
              <w:bottom w:val="single" w:sz="6" w:space="0" w:color="auto"/>
              <w:right w:val="single" w:sz="6" w:space="0" w:color="auto"/>
            </w:tcBorders>
          </w:tcPr>
          <w:p w:rsidR="00EF4B60" w:rsidRPr="001735F9" w:rsidRDefault="00EF4B60" w:rsidP="00F364F3">
            <w:pPr>
              <w:pStyle w:val="Style40"/>
              <w:widowControl/>
              <w:spacing w:before="60" w:after="60"/>
            </w:pPr>
          </w:p>
        </w:tc>
        <w:tc>
          <w:tcPr>
            <w:tcW w:w="4252" w:type="dxa"/>
            <w:tcBorders>
              <w:top w:val="single" w:sz="6" w:space="0" w:color="auto"/>
              <w:left w:val="single" w:sz="6" w:space="0" w:color="auto"/>
              <w:bottom w:val="single" w:sz="6" w:space="0" w:color="auto"/>
              <w:right w:val="single" w:sz="6" w:space="0" w:color="auto"/>
            </w:tcBorders>
            <w:vAlign w:val="center"/>
          </w:tcPr>
          <w:p w:rsidR="00EF4B60" w:rsidRPr="001735F9" w:rsidRDefault="00EF4B60" w:rsidP="00F364F3">
            <w:pPr>
              <w:pStyle w:val="Style30"/>
              <w:widowControl/>
              <w:spacing w:before="60" w:after="60" w:line="240" w:lineRule="auto"/>
              <w:rPr>
                <w:rStyle w:val="FontStyle84"/>
              </w:rPr>
            </w:pPr>
            <w:r>
              <w:rPr>
                <w:rStyle w:val="FontStyle84"/>
              </w:rPr>
              <w:t>Subtotal</w:t>
            </w:r>
          </w:p>
        </w:tc>
        <w:tc>
          <w:tcPr>
            <w:tcW w:w="1843" w:type="dxa"/>
            <w:tcBorders>
              <w:top w:val="single" w:sz="6" w:space="0" w:color="auto"/>
              <w:left w:val="single" w:sz="6" w:space="0" w:color="auto"/>
              <w:bottom w:val="single" w:sz="6" w:space="0" w:color="auto"/>
              <w:right w:val="single" w:sz="6" w:space="0" w:color="auto"/>
            </w:tcBorders>
            <w:vAlign w:val="center"/>
          </w:tcPr>
          <w:p w:rsidR="00EF4B60" w:rsidRPr="001735F9" w:rsidRDefault="00EF4B60" w:rsidP="00F364F3">
            <w:pPr>
              <w:pStyle w:val="Style30"/>
              <w:widowControl/>
              <w:spacing w:before="60" w:after="60" w:line="240" w:lineRule="auto"/>
              <w:rPr>
                <w:rStyle w:val="FontStyle84"/>
              </w:rPr>
            </w:pPr>
            <w:r>
              <w:rPr>
                <w:rStyle w:val="FontStyle84"/>
              </w:rPr>
              <w:t>$521,088.35</w:t>
            </w:r>
          </w:p>
        </w:tc>
        <w:tc>
          <w:tcPr>
            <w:tcW w:w="1843" w:type="dxa"/>
            <w:tcBorders>
              <w:top w:val="single" w:sz="6" w:space="0" w:color="auto"/>
              <w:left w:val="single" w:sz="6" w:space="0" w:color="auto"/>
              <w:bottom w:val="single" w:sz="6" w:space="0" w:color="auto"/>
              <w:right w:val="single" w:sz="6" w:space="0" w:color="auto"/>
            </w:tcBorders>
            <w:vAlign w:val="center"/>
          </w:tcPr>
          <w:p w:rsidR="00EF4B60" w:rsidRPr="001735F9" w:rsidRDefault="00EF4B60" w:rsidP="00F364F3">
            <w:pPr>
              <w:pStyle w:val="Style30"/>
              <w:widowControl/>
              <w:spacing w:before="60" w:after="60" w:line="240" w:lineRule="auto"/>
              <w:rPr>
                <w:rStyle w:val="FontStyle84"/>
              </w:rPr>
            </w:pPr>
            <w:r>
              <w:rPr>
                <w:rStyle w:val="FontStyle84"/>
              </w:rPr>
              <w:t>$4,760,157.17</w:t>
            </w:r>
          </w:p>
        </w:tc>
      </w:tr>
      <w:tr w:rsidR="00EF4B60" w:rsidRPr="001735F9" w:rsidTr="0076311D">
        <w:tblPrEx>
          <w:tblCellMar>
            <w:top w:w="0" w:type="dxa"/>
            <w:bottom w:w="0" w:type="dxa"/>
          </w:tblCellMar>
        </w:tblPrEx>
        <w:trPr>
          <w:cantSplit/>
        </w:trPr>
        <w:tc>
          <w:tcPr>
            <w:tcW w:w="1560" w:type="dxa"/>
            <w:tcBorders>
              <w:top w:val="single" w:sz="6" w:space="0" w:color="auto"/>
              <w:left w:val="single" w:sz="6" w:space="0" w:color="auto"/>
              <w:bottom w:val="single" w:sz="6" w:space="0" w:color="auto"/>
              <w:right w:val="single" w:sz="6" w:space="0" w:color="auto"/>
            </w:tcBorders>
          </w:tcPr>
          <w:p w:rsidR="00EF4B60" w:rsidRPr="001735F9" w:rsidRDefault="00EF4B60" w:rsidP="00F364F3">
            <w:pPr>
              <w:pStyle w:val="Style40"/>
              <w:widowControl/>
              <w:spacing w:before="60" w:after="60"/>
            </w:pPr>
          </w:p>
        </w:tc>
        <w:tc>
          <w:tcPr>
            <w:tcW w:w="4252" w:type="dxa"/>
            <w:tcBorders>
              <w:top w:val="single" w:sz="6" w:space="0" w:color="auto"/>
              <w:left w:val="single" w:sz="6" w:space="0" w:color="auto"/>
              <w:bottom w:val="single" w:sz="6" w:space="0" w:color="auto"/>
              <w:right w:val="single" w:sz="6" w:space="0" w:color="auto"/>
            </w:tcBorders>
            <w:vAlign w:val="center"/>
          </w:tcPr>
          <w:p w:rsidR="00EF4B60" w:rsidRPr="001735F9" w:rsidRDefault="00EF4B60" w:rsidP="00F364F3">
            <w:pPr>
              <w:pStyle w:val="Style30"/>
              <w:widowControl/>
              <w:spacing w:before="60" w:after="60" w:line="240" w:lineRule="auto"/>
              <w:rPr>
                <w:rStyle w:val="FontStyle84"/>
              </w:rPr>
            </w:pPr>
            <w:r>
              <w:rPr>
                <w:rStyle w:val="FontStyle84"/>
              </w:rPr>
              <w:t>Total de la demanda US$ en $ Can</w:t>
            </w:r>
            <w:r>
              <w:rPr>
                <w:rStyle w:val="FootnoteReference"/>
                <w:sz w:val="22"/>
              </w:rPr>
              <w:footnoteReference w:id="4"/>
            </w:r>
          </w:p>
        </w:tc>
        <w:tc>
          <w:tcPr>
            <w:tcW w:w="1843" w:type="dxa"/>
            <w:tcBorders>
              <w:top w:val="single" w:sz="6" w:space="0" w:color="auto"/>
              <w:left w:val="single" w:sz="6" w:space="0" w:color="auto"/>
              <w:bottom w:val="single" w:sz="6" w:space="0" w:color="auto"/>
              <w:right w:val="single" w:sz="6" w:space="0" w:color="auto"/>
            </w:tcBorders>
            <w:vAlign w:val="center"/>
          </w:tcPr>
          <w:p w:rsidR="00EF4B60" w:rsidRPr="001735F9" w:rsidRDefault="00EF4B60" w:rsidP="00F364F3">
            <w:pPr>
              <w:pStyle w:val="Style30"/>
              <w:widowControl/>
              <w:spacing w:before="60" w:after="60" w:line="240" w:lineRule="auto"/>
              <w:rPr>
                <w:rStyle w:val="FontStyle84"/>
              </w:rPr>
            </w:pPr>
            <w:r>
              <w:rPr>
                <w:rStyle w:val="FontStyle84"/>
              </w:rPr>
              <w:t>$4,990,072.50</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364F3">
            <w:pPr>
              <w:pStyle w:val="Style40"/>
              <w:widowControl/>
              <w:spacing w:before="60" w:after="60"/>
            </w:pPr>
          </w:p>
        </w:tc>
      </w:tr>
      <w:tr w:rsidR="00EF4B60" w:rsidRPr="001735F9" w:rsidTr="0076311D">
        <w:tblPrEx>
          <w:tblCellMar>
            <w:top w:w="0" w:type="dxa"/>
            <w:bottom w:w="0" w:type="dxa"/>
          </w:tblCellMar>
        </w:tblPrEx>
        <w:trPr>
          <w:cantSplit/>
        </w:trPr>
        <w:tc>
          <w:tcPr>
            <w:tcW w:w="1560" w:type="dxa"/>
            <w:tcBorders>
              <w:top w:val="single" w:sz="6" w:space="0" w:color="auto"/>
              <w:left w:val="single" w:sz="6" w:space="0" w:color="auto"/>
              <w:bottom w:val="single" w:sz="6" w:space="0" w:color="auto"/>
              <w:right w:val="single" w:sz="6" w:space="0" w:color="auto"/>
            </w:tcBorders>
          </w:tcPr>
          <w:p w:rsidR="00EF4B60" w:rsidRPr="001735F9" w:rsidRDefault="00EF4B60" w:rsidP="00F364F3">
            <w:pPr>
              <w:pStyle w:val="Style40"/>
              <w:widowControl/>
              <w:spacing w:before="60" w:after="60"/>
            </w:pPr>
          </w:p>
        </w:tc>
        <w:tc>
          <w:tcPr>
            <w:tcW w:w="4252" w:type="dxa"/>
            <w:tcBorders>
              <w:top w:val="single" w:sz="6" w:space="0" w:color="auto"/>
              <w:left w:val="single" w:sz="6" w:space="0" w:color="auto"/>
              <w:bottom w:val="single" w:sz="6" w:space="0" w:color="auto"/>
              <w:right w:val="single" w:sz="6" w:space="0" w:color="auto"/>
            </w:tcBorders>
            <w:vAlign w:val="center"/>
          </w:tcPr>
          <w:p w:rsidR="00EF4B60" w:rsidRPr="001735F9" w:rsidRDefault="00EF4B60" w:rsidP="00F364F3">
            <w:pPr>
              <w:pStyle w:val="Style30"/>
              <w:widowControl/>
              <w:spacing w:before="60" w:after="60" w:line="240" w:lineRule="auto"/>
              <w:rPr>
                <w:rStyle w:val="FontStyle84"/>
              </w:rPr>
            </w:pPr>
            <w:r>
              <w:rPr>
                <w:rStyle w:val="FontStyle84"/>
              </w:rPr>
              <w:t>Total de la demanda ($ Can)</w:t>
            </w:r>
          </w:p>
        </w:tc>
        <w:tc>
          <w:tcPr>
            <w:tcW w:w="1843" w:type="dxa"/>
            <w:tcBorders>
              <w:top w:val="single" w:sz="6" w:space="0" w:color="auto"/>
              <w:left w:val="single" w:sz="6" w:space="0" w:color="auto"/>
              <w:bottom w:val="single" w:sz="6" w:space="0" w:color="auto"/>
              <w:right w:val="single" w:sz="6" w:space="0" w:color="auto"/>
            </w:tcBorders>
            <w:vAlign w:val="center"/>
          </w:tcPr>
          <w:p w:rsidR="00EF4B60" w:rsidRPr="001735F9" w:rsidRDefault="00EF4B60" w:rsidP="00F364F3">
            <w:pPr>
              <w:pStyle w:val="Style30"/>
              <w:widowControl/>
              <w:spacing w:before="60" w:after="60" w:line="240" w:lineRule="auto"/>
              <w:rPr>
                <w:rStyle w:val="FontStyle84"/>
              </w:rPr>
            </w:pPr>
            <w:r>
              <w:rPr>
                <w:rStyle w:val="FontStyle84"/>
              </w:rPr>
              <w:t>$5,511,160.85</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364F3">
            <w:pPr>
              <w:pStyle w:val="Style40"/>
              <w:widowControl/>
              <w:spacing w:before="60" w:after="60"/>
            </w:pPr>
          </w:p>
        </w:tc>
      </w:tr>
      <w:tr w:rsidR="00EF4B60" w:rsidRPr="001735F9" w:rsidTr="0076311D">
        <w:tblPrEx>
          <w:tblCellMar>
            <w:top w:w="0" w:type="dxa"/>
            <w:bottom w:w="0" w:type="dxa"/>
          </w:tblCellMar>
        </w:tblPrEx>
        <w:trPr>
          <w:cantSplit/>
        </w:trPr>
        <w:tc>
          <w:tcPr>
            <w:tcW w:w="1560" w:type="dxa"/>
            <w:tcBorders>
              <w:top w:val="single" w:sz="6" w:space="0" w:color="auto"/>
              <w:left w:val="single" w:sz="6" w:space="0" w:color="auto"/>
              <w:bottom w:val="single" w:sz="6" w:space="0" w:color="auto"/>
              <w:right w:val="single" w:sz="6" w:space="0" w:color="auto"/>
            </w:tcBorders>
          </w:tcPr>
          <w:p w:rsidR="00EF4B60" w:rsidRPr="001735F9" w:rsidRDefault="00EF4B60" w:rsidP="00F364F3">
            <w:pPr>
              <w:pStyle w:val="Style40"/>
              <w:widowControl/>
              <w:spacing w:before="60" w:after="60"/>
            </w:pPr>
          </w:p>
        </w:tc>
        <w:tc>
          <w:tcPr>
            <w:tcW w:w="4252" w:type="dxa"/>
            <w:tcBorders>
              <w:top w:val="single" w:sz="6" w:space="0" w:color="auto"/>
              <w:left w:val="single" w:sz="6" w:space="0" w:color="auto"/>
              <w:bottom w:val="single" w:sz="6" w:space="0" w:color="auto"/>
              <w:right w:val="single" w:sz="6" w:space="0" w:color="auto"/>
            </w:tcBorders>
            <w:vAlign w:val="center"/>
          </w:tcPr>
          <w:p w:rsidR="00EF4B60" w:rsidRPr="001735F9" w:rsidRDefault="00EF4B60" w:rsidP="00F364F3">
            <w:pPr>
              <w:pStyle w:val="Style30"/>
              <w:widowControl/>
              <w:spacing w:before="60" w:after="60" w:line="240" w:lineRule="auto"/>
              <w:rPr>
                <w:rStyle w:val="FontStyle84"/>
                <w:vertAlign w:val="superscript"/>
              </w:rPr>
            </w:pPr>
            <w:r>
              <w:rPr>
                <w:rStyle w:val="FontStyle84"/>
              </w:rPr>
              <w:t>Intereses pre-juicio</w:t>
            </w:r>
            <w:r>
              <w:rPr>
                <w:rStyle w:val="FootnoteReference"/>
                <w:sz w:val="22"/>
              </w:rPr>
              <w:footnoteReference w:id="5"/>
            </w:r>
          </w:p>
        </w:tc>
        <w:tc>
          <w:tcPr>
            <w:tcW w:w="1843" w:type="dxa"/>
            <w:tcBorders>
              <w:top w:val="single" w:sz="6" w:space="0" w:color="auto"/>
              <w:left w:val="single" w:sz="6" w:space="0" w:color="auto"/>
              <w:bottom w:val="single" w:sz="6" w:space="0" w:color="auto"/>
              <w:right w:val="single" w:sz="6" w:space="0" w:color="auto"/>
            </w:tcBorders>
            <w:vAlign w:val="center"/>
          </w:tcPr>
          <w:p w:rsidR="00EF4B60" w:rsidRPr="001735F9" w:rsidRDefault="00EF4B60" w:rsidP="00F364F3">
            <w:pPr>
              <w:pStyle w:val="Style30"/>
              <w:widowControl/>
              <w:spacing w:before="60" w:after="60" w:line="240" w:lineRule="auto"/>
              <w:rPr>
                <w:rStyle w:val="FontStyle84"/>
              </w:rPr>
            </w:pPr>
            <w:r>
              <w:rPr>
                <w:rStyle w:val="FontStyle84"/>
              </w:rPr>
              <w:t>$673,343.06</w:t>
            </w:r>
          </w:p>
        </w:tc>
        <w:tc>
          <w:tcPr>
            <w:tcW w:w="1843" w:type="dxa"/>
            <w:tcBorders>
              <w:top w:val="single" w:sz="6" w:space="0" w:color="auto"/>
              <w:left w:val="single" w:sz="6" w:space="0" w:color="auto"/>
              <w:bottom w:val="single" w:sz="6" w:space="0" w:color="auto"/>
              <w:right w:val="single" w:sz="6" w:space="0" w:color="auto"/>
            </w:tcBorders>
          </w:tcPr>
          <w:p w:rsidR="00EF4B60" w:rsidRPr="001735F9" w:rsidRDefault="00EF4B60" w:rsidP="00F364F3">
            <w:pPr>
              <w:pStyle w:val="Style40"/>
              <w:widowControl/>
              <w:spacing w:before="60" w:after="60"/>
            </w:pPr>
          </w:p>
        </w:tc>
      </w:tr>
    </w:tbl>
    <w:p w:rsidR="00EF4B60" w:rsidRPr="00F364F3" w:rsidRDefault="00EF4B60" w:rsidP="00F364F3">
      <w:pPr>
        <w:pStyle w:val="Style59"/>
        <w:widowControl/>
        <w:spacing w:line="240" w:lineRule="auto"/>
        <w:jc w:val="center"/>
        <w:rPr>
          <w:sz w:val="16"/>
          <w:szCs w:val="16"/>
        </w:rPr>
      </w:pPr>
    </w:p>
    <w:p w:rsidR="00EF4B60" w:rsidRPr="00F364F3" w:rsidRDefault="00EF4B60" w:rsidP="00F51C52">
      <w:pPr>
        <w:pStyle w:val="Style79"/>
        <w:widowControl/>
        <w:spacing w:line="643" w:lineRule="exact"/>
        <w:jc w:val="both"/>
        <w:rPr>
          <w:sz w:val="16"/>
          <w:szCs w:val="16"/>
        </w:rPr>
        <w:sectPr w:rsidR="00EF4B60" w:rsidRPr="00F364F3" w:rsidSect="00915E8A">
          <w:headerReference w:type="default" r:id="rId19"/>
          <w:footnotePr>
            <w:numRestart w:val="eachSect"/>
          </w:footnotePr>
          <w:pgSz w:w="12242" w:h="15842" w:code="1"/>
          <w:pgMar w:top="1440" w:right="1440" w:bottom="1440" w:left="1440" w:header="720" w:footer="720" w:gutter="0"/>
          <w:pgNumType w:fmt="numberInDash" w:start="1"/>
          <w:cols w:space="60"/>
          <w:noEndnote/>
          <w:titlePg/>
        </w:sectPr>
      </w:pPr>
    </w:p>
    <w:p w:rsidR="00EF4B60" w:rsidRDefault="00EF4B60" w:rsidP="00F51C52">
      <w:pPr>
        <w:pStyle w:val="Style79"/>
        <w:widowControl/>
        <w:spacing w:line="643" w:lineRule="exact"/>
        <w:jc w:val="center"/>
        <w:rPr>
          <w:rStyle w:val="FontStyle101"/>
          <w:position w:val="1"/>
        </w:rPr>
      </w:pPr>
    </w:p>
    <w:p w:rsidR="00EF4B60" w:rsidRDefault="00EF4B60" w:rsidP="00F51C52">
      <w:pPr>
        <w:pStyle w:val="Style79"/>
        <w:widowControl/>
        <w:spacing w:line="643" w:lineRule="exact"/>
        <w:jc w:val="center"/>
        <w:rPr>
          <w:rStyle w:val="FontStyle101"/>
          <w:position w:val="1"/>
        </w:rPr>
      </w:pPr>
    </w:p>
    <w:p w:rsidR="00EF4B60" w:rsidRDefault="00EF4B60" w:rsidP="00F51C52">
      <w:pPr>
        <w:pStyle w:val="Style79"/>
        <w:widowControl/>
        <w:spacing w:line="643" w:lineRule="exact"/>
        <w:jc w:val="center"/>
        <w:rPr>
          <w:rStyle w:val="FontStyle101"/>
          <w:position w:val="1"/>
        </w:rPr>
      </w:pPr>
    </w:p>
    <w:p w:rsidR="00EF4B60" w:rsidRDefault="00EF4B60" w:rsidP="00F51C52">
      <w:pPr>
        <w:pStyle w:val="Style79"/>
        <w:widowControl/>
        <w:spacing w:line="643" w:lineRule="exact"/>
        <w:jc w:val="center"/>
        <w:rPr>
          <w:rStyle w:val="FontStyle101"/>
          <w:position w:val="1"/>
        </w:rPr>
      </w:pPr>
    </w:p>
    <w:p w:rsidR="00EF4B60" w:rsidRDefault="00EF4B60" w:rsidP="00F51C52">
      <w:pPr>
        <w:pStyle w:val="Style79"/>
        <w:widowControl/>
        <w:spacing w:line="643" w:lineRule="exact"/>
        <w:jc w:val="center"/>
        <w:rPr>
          <w:rStyle w:val="FontStyle101"/>
          <w:position w:val="1"/>
        </w:rPr>
      </w:pPr>
    </w:p>
    <w:p w:rsidR="00EF4B60" w:rsidRDefault="00EF4B60" w:rsidP="00F51C52">
      <w:pPr>
        <w:pStyle w:val="Style79"/>
        <w:widowControl/>
        <w:spacing w:line="643" w:lineRule="exact"/>
        <w:jc w:val="center"/>
        <w:rPr>
          <w:rStyle w:val="FontStyle101"/>
          <w:position w:val="1"/>
        </w:rPr>
      </w:pPr>
    </w:p>
    <w:p w:rsidR="00EF4B60" w:rsidRDefault="00EF4B60" w:rsidP="00F51C52">
      <w:pPr>
        <w:pStyle w:val="Style79"/>
        <w:widowControl/>
        <w:spacing w:line="643" w:lineRule="exact"/>
        <w:jc w:val="center"/>
        <w:rPr>
          <w:rStyle w:val="FontStyle101"/>
          <w:position w:val="1"/>
        </w:rPr>
      </w:pPr>
    </w:p>
    <w:p w:rsidR="00EF4B60" w:rsidRDefault="00EF4B60" w:rsidP="00F51C52">
      <w:pPr>
        <w:pStyle w:val="Style79"/>
        <w:widowControl/>
        <w:spacing w:line="643" w:lineRule="exact"/>
        <w:jc w:val="center"/>
        <w:rPr>
          <w:rStyle w:val="FontStyle101"/>
          <w:position w:val="1"/>
        </w:rPr>
      </w:pPr>
    </w:p>
    <w:p w:rsidR="00EF4B60" w:rsidRDefault="00EF4B60" w:rsidP="00F51C52">
      <w:pPr>
        <w:pStyle w:val="Style79"/>
        <w:widowControl/>
        <w:spacing w:line="643" w:lineRule="exact"/>
        <w:jc w:val="center"/>
        <w:rPr>
          <w:rStyle w:val="FontStyle101"/>
          <w:position w:val="1"/>
        </w:rPr>
      </w:pPr>
    </w:p>
    <w:p w:rsidR="00EF4B60" w:rsidRPr="001735F9" w:rsidRDefault="00EF4B60" w:rsidP="00F51C52">
      <w:pPr>
        <w:pStyle w:val="Style79"/>
        <w:widowControl/>
        <w:spacing w:line="643" w:lineRule="exact"/>
        <w:jc w:val="center"/>
        <w:rPr>
          <w:rStyle w:val="FontStyle101"/>
          <w:spacing w:val="-40"/>
          <w:position w:val="1"/>
        </w:rPr>
      </w:pPr>
      <w:r>
        <w:rPr>
          <w:rStyle w:val="FontStyle101"/>
          <w:position w:val="1"/>
        </w:rPr>
        <w:t xml:space="preserve">Apéndice </w:t>
      </w:r>
      <w:r>
        <w:rPr>
          <w:rStyle w:val="FontStyle101"/>
          <w:spacing w:val="-40"/>
          <w:position w:val="1"/>
        </w:rPr>
        <w:t>“F”</w:t>
      </w:r>
    </w:p>
    <w:p w:rsidR="00EF4B60" w:rsidRPr="001735F9" w:rsidRDefault="00EF4B60" w:rsidP="00F51C52">
      <w:pPr>
        <w:pStyle w:val="Style45"/>
        <w:widowControl/>
        <w:spacing w:line="192" w:lineRule="exact"/>
        <w:rPr>
          <w:rStyle w:val="FontStyle108"/>
          <w:rFonts w:ascii="Times New Roman" w:hAnsi="Times New Roman" w:cs="Times New Roman"/>
          <w:sz w:val="22"/>
          <w:szCs w:val="22"/>
        </w:rPr>
      </w:pPr>
    </w:p>
    <w:p w:rsidR="00EF4B60" w:rsidRPr="001735F9" w:rsidRDefault="00EF4B60" w:rsidP="00F51C52">
      <w:pPr>
        <w:pStyle w:val="Style45"/>
        <w:widowControl/>
        <w:spacing w:line="192" w:lineRule="exact"/>
        <w:rPr>
          <w:rStyle w:val="FontStyle108"/>
          <w:rFonts w:ascii="Times New Roman" w:hAnsi="Times New Roman" w:cs="Times New Roman"/>
          <w:sz w:val="22"/>
          <w:szCs w:val="22"/>
        </w:rPr>
      </w:pPr>
    </w:p>
    <w:p w:rsidR="00EF4B60" w:rsidRDefault="00EF4B60" w:rsidP="00F51C52">
      <w:pPr>
        <w:pStyle w:val="Style45"/>
        <w:widowControl/>
        <w:spacing w:line="192" w:lineRule="exact"/>
        <w:rPr>
          <w:rStyle w:val="FontStyle108"/>
          <w:rFonts w:ascii="Times New Roman" w:hAnsi="Times New Roman" w:cs="Times New Roman"/>
          <w:sz w:val="22"/>
          <w:szCs w:val="22"/>
        </w:rPr>
      </w:pPr>
      <w:r>
        <w:br w:type="page"/>
      </w:r>
    </w:p>
    <w:p w:rsidR="00EF4B60" w:rsidRDefault="00EF4B60" w:rsidP="00F51C52">
      <w:pPr>
        <w:pStyle w:val="Style45"/>
        <w:widowControl/>
        <w:spacing w:line="192" w:lineRule="exact"/>
        <w:rPr>
          <w:rStyle w:val="FontStyle108"/>
          <w:rFonts w:ascii="Times New Roman" w:hAnsi="Times New Roman" w:cs="Times New Roman"/>
          <w:sz w:val="22"/>
          <w:szCs w:val="22"/>
        </w:rPr>
      </w:pPr>
    </w:p>
    <w:p w:rsidR="00EF4B60" w:rsidRDefault="00EF4B60" w:rsidP="00F51C52">
      <w:pPr>
        <w:pStyle w:val="Style45"/>
        <w:widowControl/>
        <w:spacing w:line="192" w:lineRule="exact"/>
        <w:rPr>
          <w:rStyle w:val="FontStyle108"/>
          <w:rFonts w:ascii="Times New Roman" w:hAnsi="Times New Roman" w:cs="Times New Roman"/>
          <w:sz w:val="22"/>
          <w:szCs w:val="22"/>
        </w:rPr>
      </w:pPr>
    </w:p>
    <w:p w:rsidR="00EF4B60" w:rsidRDefault="00EF4B60" w:rsidP="00F51C52">
      <w:pPr>
        <w:pStyle w:val="Style45"/>
        <w:widowControl/>
        <w:spacing w:line="192" w:lineRule="exact"/>
        <w:rPr>
          <w:rStyle w:val="FontStyle108"/>
          <w:rFonts w:ascii="Times New Roman" w:hAnsi="Times New Roman" w:cs="Times New Roman"/>
          <w:sz w:val="22"/>
          <w:szCs w:val="22"/>
        </w:rPr>
      </w:pPr>
    </w:p>
    <w:p w:rsidR="00EF4B60" w:rsidRDefault="00EF4B60" w:rsidP="00F51C52">
      <w:pPr>
        <w:pStyle w:val="Style45"/>
        <w:widowControl/>
        <w:spacing w:line="192" w:lineRule="exact"/>
        <w:rPr>
          <w:rStyle w:val="FontStyle108"/>
          <w:rFonts w:ascii="Times New Roman" w:hAnsi="Times New Roman" w:cs="Times New Roman"/>
          <w:sz w:val="22"/>
          <w:szCs w:val="22"/>
        </w:rPr>
      </w:pPr>
    </w:p>
    <w:p w:rsidR="00EF4B60" w:rsidRDefault="00EF4B60" w:rsidP="00F51C52">
      <w:pPr>
        <w:pStyle w:val="Style45"/>
        <w:widowControl/>
        <w:spacing w:line="192" w:lineRule="exact"/>
        <w:rPr>
          <w:rStyle w:val="FontStyle108"/>
          <w:rFonts w:ascii="Times New Roman" w:hAnsi="Times New Roman" w:cs="Times New Roman"/>
          <w:sz w:val="22"/>
          <w:szCs w:val="22"/>
        </w:rPr>
      </w:pPr>
    </w:p>
    <w:p w:rsidR="00EF4B60" w:rsidRDefault="00EF4B60" w:rsidP="00F51C52">
      <w:pPr>
        <w:pStyle w:val="Style45"/>
        <w:widowControl/>
        <w:spacing w:line="192" w:lineRule="exact"/>
        <w:rPr>
          <w:rStyle w:val="FontStyle108"/>
          <w:rFonts w:ascii="Times New Roman" w:hAnsi="Times New Roman" w:cs="Times New Roman"/>
          <w:sz w:val="22"/>
          <w:szCs w:val="22"/>
        </w:rPr>
      </w:pPr>
    </w:p>
    <w:p w:rsidR="00EF4B60" w:rsidRDefault="00EF4B60" w:rsidP="00F51C52">
      <w:pPr>
        <w:pStyle w:val="Style45"/>
        <w:widowControl/>
        <w:spacing w:line="192" w:lineRule="exact"/>
        <w:rPr>
          <w:rStyle w:val="FontStyle108"/>
          <w:rFonts w:ascii="Times New Roman" w:hAnsi="Times New Roman" w:cs="Times New Roman"/>
          <w:sz w:val="22"/>
          <w:szCs w:val="22"/>
        </w:rPr>
      </w:pPr>
    </w:p>
    <w:p w:rsidR="00EF4B60" w:rsidRDefault="00EF4B60" w:rsidP="00F51C52">
      <w:pPr>
        <w:pStyle w:val="Style45"/>
        <w:widowControl/>
        <w:spacing w:line="192" w:lineRule="exact"/>
        <w:rPr>
          <w:rStyle w:val="FontStyle108"/>
          <w:rFonts w:ascii="Times New Roman" w:hAnsi="Times New Roman" w:cs="Times New Roman"/>
          <w:sz w:val="22"/>
          <w:szCs w:val="22"/>
        </w:rPr>
      </w:pPr>
    </w:p>
    <w:p w:rsidR="00EF4B60" w:rsidRDefault="00EF4B60" w:rsidP="00F51C52">
      <w:pPr>
        <w:pStyle w:val="Style45"/>
        <w:widowControl/>
        <w:spacing w:line="192" w:lineRule="exact"/>
        <w:rPr>
          <w:rStyle w:val="FontStyle108"/>
          <w:rFonts w:ascii="Times New Roman" w:hAnsi="Times New Roman" w:cs="Times New Roman"/>
          <w:sz w:val="22"/>
          <w:szCs w:val="22"/>
        </w:rPr>
      </w:pPr>
    </w:p>
    <w:p w:rsidR="00EF4B60" w:rsidRDefault="00EF4B60" w:rsidP="00F51C52">
      <w:pPr>
        <w:pStyle w:val="Style45"/>
        <w:widowControl/>
        <w:spacing w:line="192" w:lineRule="exact"/>
        <w:rPr>
          <w:rStyle w:val="FontStyle108"/>
          <w:rFonts w:ascii="Times New Roman" w:hAnsi="Times New Roman" w:cs="Times New Roman"/>
          <w:sz w:val="22"/>
          <w:szCs w:val="22"/>
        </w:rPr>
      </w:pPr>
    </w:p>
    <w:p w:rsidR="00EF4B60" w:rsidRDefault="00EF4B60" w:rsidP="00F51C52">
      <w:pPr>
        <w:pStyle w:val="Style45"/>
        <w:widowControl/>
        <w:spacing w:line="192" w:lineRule="exact"/>
        <w:rPr>
          <w:rStyle w:val="FontStyle108"/>
          <w:rFonts w:ascii="Times New Roman" w:hAnsi="Times New Roman" w:cs="Times New Roman"/>
          <w:sz w:val="22"/>
          <w:szCs w:val="22"/>
        </w:rPr>
      </w:pPr>
    </w:p>
    <w:p w:rsidR="00EF4B60" w:rsidRDefault="00EF4B60" w:rsidP="00F51C52">
      <w:pPr>
        <w:pStyle w:val="Style45"/>
        <w:widowControl/>
        <w:spacing w:line="192" w:lineRule="exact"/>
        <w:rPr>
          <w:rStyle w:val="FontStyle108"/>
          <w:rFonts w:ascii="Times New Roman" w:hAnsi="Times New Roman" w:cs="Times New Roman"/>
          <w:sz w:val="22"/>
          <w:szCs w:val="22"/>
        </w:rPr>
      </w:pPr>
    </w:p>
    <w:p w:rsidR="00EF4B60" w:rsidRDefault="00EF4B60" w:rsidP="00F51C52">
      <w:pPr>
        <w:pStyle w:val="Style45"/>
        <w:widowControl/>
        <w:spacing w:line="192" w:lineRule="exact"/>
        <w:rPr>
          <w:rStyle w:val="FontStyle108"/>
          <w:rFonts w:ascii="Times New Roman" w:hAnsi="Times New Roman" w:cs="Times New Roman"/>
          <w:sz w:val="22"/>
          <w:szCs w:val="22"/>
        </w:rPr>
      </w:pPr>
    </w:p>
    <w:p w:rsidR="00EF4B60" w:rsidRDefault="00EF4B60" w:rsidP="00F51C52">
      <w:pPr>
        <w:pStyle w:val="Style45"/>
        <w:widowControl/>
        <w:spacing w:line="192" w:lineRule="exact"/>
        <w:rPr>
          <w:rStyle w:val="FontStyle108"/>
          <w:rFonts w:ascii="Times New Roman" w:hAnsi="Times New Roman" w:cs="Times New Roman"/>
          <w:sz w:val="22"/>
          <w:szCs w:val="22"/>
        </w:rPr>
      </w:pPr>
    </w:p>
    <w:p w:rsidR="00EF4B60" w:rsidRDefault="00EF4B60" w:rsidP="00F51C52">
      <w:pPr>
        <w:pStyle w:val="Style45"/>
        <w:widowControl/>
        <w:spacing w:line="192" w:lineRule="exact"/>
        <w:rPr>
          <w:rStyle w:val="FontStyle108"/>
          <w:rFonts w:ascii="Times New Roman" w:hAnsi="Times New Roman" w:cs="Times New Roman"/>
          <w:sz w:val="22"/>
          <w:szCs w:val="22"/>
        </w:rPr>
      </w:pPr>
    </w:p>
    <w:p w:rsidR="00EF4B60" w:rsidRDefault="00EF4B60" w:rsidP="00F51C52">
      <w:pPr>
        <w:pStyle w:val="Style45"/>
        <w:widowControl/>
        <w:spacing w:line="192" w:lineRule="exact"/>
        <w:rPr>
          <w:rStyle w:val="FontStyle108"/>
          <w:rFonts w:ascii="Times New Roman" w:hAnsi="Times New Roman" w:cs="Times New Roman"/>
          <w:sz w:val="22"/>
          <w:szCs w:val="22"/>
        </w:rPr>
      </w:pPr>
    </w:p>
    <w:p w:rsidR="00EF4B60" w:rsidRPr="0083455C" w:rsidRDefault="00EF4B60" w:rsidP="00F51C52">
      <w:pPr>
        <w:pStyle w:val="Style45"/>
        <w:widowControl/>
        <w:spacing w:line="192" w:lineRule="exact"/>
        <w:rPr>
          <w:rStyle w:val="FontStyle108"/>
          <w:rFonts w:ascii="Times New Roman" w:hAnsi="Times New Roman" w:cs="Times New Roman"/>
          <w:sz w:val="20"/>
          <w:szCs w:val="20"/>
        </w:rPr>
      </w:pPr>
      <w:r w:rsidRPr="0083455C">
        <w:rPr>
          <w:rStyle w:val="FontStyle108"/>
          <w:rFonts w:ascii="Times New Roman" w:hAnsi="Times New Roman"/>
          <w:sz w:val="20"/>
        </w:rPr>
        <w:t xml:space="preserve">UNIVERSAL SETTLEMENTS INTERNATIONAL INC. </w:t>
      </w:r>
    </w:p>
    <w:p w:rsidR="00EF4B60" w:rsidRPr="0083455C" w:rsidRDefault="00EF4B60" w:rsidP="00F51C52">
      <w:pPr>
        <w:pStyle w:val="Style45"/>
        <w:widowControl/>
        <w:spacing w:line="192" w:lineRule="exact"/>
        <w:rPr>
          <w:rStyle w:val="FontStyle105"/>
          <w:rFonts w:ascii="Times New Roman" w:hAnsi="Times New Roman" w:cs="Times New Roman"/>
          <w:b/>
          <w:sz w:val="20"/>
          <w:szCs w:val="20"/>
        </w:rPr>
      </w:pPr>
      <w:r w:rsidRPr="0083455C">
        <w:rPr>
          <w:rStyle w:val="FontStyle108"/>
          <w:rFonts w:ascii="Times New Roman" w:hAnsi="Times New Roman"/>
          <w:sz w:val="20"/>
        </w:rPr>
        <w:t>BALANCE GENERAL PROVISIONAL NO AUDITADO</w:t>
      </w:r>
      <w:r w:rsidRPr="0083455C">
        <w:rPr>
          <w:rStyle w:val="FontStyle105"/>
          <w:rFonts w:ascii="Times New Roman" w:hAnsi="Times New Roman"/>
          <w:b/>
          <w:sz w:val="20"/>
        </w:rPr>
        <w:t xml:space="preserve"> </w:t>
      </w:r>
    </w:p>
    <w:p w:rsidR="00EF4B60" w:rsidRPr="0083455C" w:rsidRDefault="00EF4B60" w:rsidP="00F51C52">
      <w:pPr>
        <w:pStyle w:val="Style45"/>
        <w:widowControl/>
        <w:spacing w:line="192" w:lineRule="exact"/>
        <w:rPr>
          <w:rStyle w:val="FontStyle108"/>
          <w:rFonts w:ascii="Times New Roman" w:hAnsi="Times New Roman" w:cs="Times New Roman"/>
          <w:sz w:val="20"/>
          <w:szCs w:val="20"/>
        </w:rPr>
      </w:pPr>
      <w:r w:rsidRPr="0083455C">
        <w:rPr>
          <w:rStyle w:val="FontStyle105"/>
          <w:rFonts w:ascii="Times New Roman" w:hAnsi="Times New Roman"/>
          <w:b/>
          <w:sz w:val="20"/>
        </w:rPr>
        <w:t>30 DE SEPTIEMBRE DE 2008</w:t>
      </w:r>
    </w:p>
    <w:p w:rsidR="00EF4B60" w:rsidRDefault="00EF4B60" w:rsidP="00F51C52">
      <w:pPr>
        <w:pStyle w:val="Style49"/>
        <w:widowControl/>
        <w:jc w:val="both"/>
        <w:rPr>
          <w:rStyle w:val="FontStyle122"/>
          <w:sz w:val="22"/>
          <w:szCs w:val="22"/>
        </w:rPr>
      </w:pPr>
    </w:p>
    <w:p w:rsidR="00EF4B60" w:rsidRDefault="00EF4B60" w:rsidP="00F51C52">
      <w:pPr>
        <w:pStyle w:val="Style49"/>
        <w:widowControl/>
        <w:jc w:val="both"/>
        <w:rPr>
          <w:rStyle w:val="FontStyle122"/>
          <w:sz w:val="22"/>
          <w:szCs w:val="22"/>
        </w:rPr>
      </w:pPr>
    </w:p>
    <w:p w:rsidR="00EF4B60" w:rsidRDefault="00EF4B60" w:rsidP="00F51C52">
      <w:pPr>
        <w:pStyle w:val="Style49"/>
        <w:widowControl/>
        <w:jc w:val="both"/>
        <w:rPr>
          <w:rStyle w:val="FontStyle122"/>
          <w:sz w:val="22"/>
          <w:szCs w:val="22"/>
        </w:rPr>
      </w:pPr>
    </w:p>
    <w:p w:rsidR="00EF4B60" w:rsidRDefault="00EF4B60" w:rsidP="00F51C52">
      <w:pPr>
        <w:pStyle w:val="Style49"/>
        <w:widowControl/>
        <w:jc w:val="both"/>
        <w:rPr>
          <w:rStyle w:val="FontStyle122"/>
          <w:sz w:val="22"/>
          <w:szCs w:val="22"/>
        </w:rPr>
      </w:pPr>
    </w:p>
    <w:p w:rsidR="00EF4B60" w:rsidRDefault="00EF4B60" w:rsidP="00F51C52">
      <w:pPr>
        <w:pStyle w:val="Style49"/>
        <w:widowControl/>
        <w:jc w:val="both"/>
        <w:rPr>
          <w:rStyle w:val="FontStyle122"/>
          <w:sz w:val="22"/>
          <w:szCs w:val="22"/>
        </w:rPr>
      </w:pPr>
    </w:p>
    <w:p w:rsidR="00EF4B60" w:rsidRDefault="00EF4B60" w:rsidP="00F51C52">
      <w:pPr>
        <w:pStyle w:val="Style49"/>
        <w:widowControl/>
        <w:jc w:val="both"/>
        <w:rPr>
          <w:rStyle w:val="FontStyle122"/>
          <w:sz w:val="22"/>
          <w:szCs w:val="22"/>
        </w:rPr>
      </w:pPr>
    </w:p>
    <w:p w:rsidR="00EF4B60" w:rsidRDefault="00EF4B60" w:rsidP="00F51C52">
      <w:pPr>
        <w:pStyle w:val="Style49"/>
        <w:widowControl/>
        <w:jc w:val="both"/>
        <w:rPr>
          <w:rStyle w:val="FontStyle122"/>
          <w:sz w:val="22"/>
          <w:szCs w:val="22"/>
        </w:rPr>
      </w:pPr>
    </w:p>
    <w:p w:rsidR="00EF4B60" w:rsidRDefault="00EF4B60" w:rsidP="00F51C52">
      <w:pPr>
        <w:pStyle w:val="Style49"/>
        <w:widowControl/>
        <w:jc w:val="both"/>
        <w:rPr>
          <w:rStyle w:val="FontStyle122"/>
          <w:sz w:val="22"/>
          <w:szCs w:val="22"/>
        </w:rPr>
      </w:pPr>
    </w:p>
    <w:p w:rsidR="00EF4B60" w:rsidRDefault="00EF4B60" w:rsidP="00F51C52">
      <w:pPr>
        <w:pStyle w:val="Style49"/>
        <w:widowControl/>
        <w:jc w:val="both"/>
        <w:rPr>
          <w:rStyle w:val="FontStyle122"/>
          <w:sz w:val="22"/>
          <w:szCs w:val="22"/>
        </w:rPr>
      </w:pPr>
    </w:p>
    <w:p w:rsidR="00EF4B60" w:rsidRDefault="00EF4B60" w:rsidP="00F51C52">
      <w:pPr>
        <w:pStyle w:val="Style49"/>
        <w:widowControl/>
        <w:jc w:val="both"/>
        <w:rPr>
          <w:rStyle w:val="FontStyle122"/>
          <w:sz w:val="22"/>
          <w:szCs w:val="22"/>
        </w:rPr>
      </w:pPr>
    </w:p>
    <w:p w:rsidR="00EF4B60" w:rsidRDefault="00EF4B60" w:rsidP="00F51C52">
      <w:pPr>
        <w:pStyle w:val="Style49"/>
        <w:widowControl/>
        <w:jc w:val="both"/>
        <w:rPr>
          <w:rStyle w:val="FontStyle122"/>
          <w:sz w:val="22"/>
          <w:szCs w:val="22"/>
        </w:rPr>
      </w:pPr>
    </w:p>
    <w:p w:rsidR="00EF4B60" w:rsidRDefault="00EF4B60" w:rsidP="00F51C52">
      <w:pPr>
        <w:pStyle w:val="Style49"/>
        <w:widowControl/>
        <w:jc w:val="both"/>
        <w:rPr>
          <w:rStyle w:val="FontStyle122"/>
          <w:sz w:val="22"/>
          <w:szCs w:val="22"/>
        </w:rPr>
      </w:pPr>
    </w:p>
    <w:p w:rsidR="00EF4B60" w:rsidRPr="001735F9" w:rsidRDefault="00EF4B60" w:rsidP="00F51C52">
      <w:pPr>
        <w:pStyle w:val="Style49"/>
        <w:widowControl/>
        <w:jc w:val="both"/>
        <w:rPr>
          <w:rStyle w:val="FontStyle122"/>
          <w:sz w:val="22"/>
          <w:szCs w:val="22"/>
        </w:rPr>
      </w:pPr>
    </w:p>
    <w:p w:rsidR="00EF4B60" w:rsidRPr="001735F9" w:rsidRDefault="00EF4B60" w:rsidP="00F51C52">
      <w:pPr>
        <w:pStyle w:val="Style49"/>
        <w:widowControl/>
        <w:jc w:val="both"/>
        <w:rPr>
          <w:rStyle w:val="FontStyle122"/>
          <w:sz w:val="22"/>
          <w:szCs w:val="22"/>
        </w:rPr>
      </w:pPr>
    </w:p>
    <w:p w:rsidR="00EF4B60" w:rsidRPr="008A7FC1" w:rsidRDefault="00EF4B60" w:rsidP="00F51C52">
      <w:pPr>
        <w:pStyle w:val="Style49"/>
        <w:widowControl/>
        <w:jc w:val="center"/>
        <w:rPr>
          <w:rStyle w:val="FontStyle122"/>
          <w:sz w:val="14"/>
          <w:szCs w:val="14"/>
        </w:rPr>
      </w:pPr>
      <w:r>
        <w:rPr>
          <w:rStyle w:val="FontStyle122"/>
          <w:sz w:val="16"/>
        </w:rPr>
        <w:t xml:space="preserve">VALENZANO &amp; PILLO </w:t>
      </w:r>
      <w:r>
        <w:rPr>
          <w:rStyle w:val="FontStyle122"/>
          <w:sz w:val="14"/>
        </w:rPr>
        <w:t>LLP</w:t>
      </w:r>
    </w:p>
    <w:p w:rsidR="00EF4B60" w:rsidRPr="008A7FC1" w:rsidRDefault="00EF4B60" w:rsidP="00F51C52">
      <w:pPr>
        <w:pStyle w:val="Style49"/>
        <w:widowControl/>
        <w:jc w:val="center"/>
        <w:rPr>
          <w:rStyle w:val="FontStyle122"/>
          <w:sz w:val="14"/>
          <w:szCs w:val="14"/>
        </w:rPr>
      </w:pPr>
      <w:r>
        <w:rPr>
          <w:rStyle w:val="FontStyle122"/>
          <w:sz w:val="14"/>
        </w:rPr>
        <w:t>CONTADORES REGISTRADOS</w:t>
      </w:r>
    </w:p>
    <w:p w:rsidR="00EF4B60" w:rsidRDefault="00EF4B60" w:rsidP="00F51C52">
      <w:pPr>
        <w:pStyle w:val="Style52"/>
        <w:widowControl/>
        <w:spacing w:before="48"/>
        <w:jc w:val="both"/>
        <w:rPr>
          <w:sz w:val="22"/>
          <w:szCs w:val="22"/>
        </w:rPr>
      </w:pPr>
      <w:r>
        <w:br w:type="page"/>
      </w:r>
    </w:p>
    <w:p w:rsidR="00EF4B60" w:rsidRPr="008A7FC1" w:rsidRDefault="00EF4B60" w:rsidP="00F51C52">
      <w:pPr>
        <w:pStyle w:val="Style49"/>
        <w:widowControl/>
        <w:jc w:val="center"/>
        <w:rPr>
          <w:rStyle w:val="FontStyle122"/>
          <w:sz w:val="16"/>
          <w:szCs w:val="16"/>
        </w:rPr>
      </w:pPr>
      <w:r>
        <w:rPr>
          <w:rStyle w:val="FontStyle122"/>
          <w:sz w:val="24"/>
        </w:rPr>
        <w:t>VALENZANO &amp; PILLO</w:t>
      </w:r>
      <w:r>
        <w:rPr>
          <w:rStyle w:val="FontStyle122"/>
          <w:sz w:val="16"/>
        </w:rPr>
        <w:t xml:space="preserve"> LLP</w:t>
      </w:r>
    </w:p>
    <w:p w:rsidR="00EF4B60" w:rsidRPr="008A7FC1" w:rsidRDefault="00EF4B60" w:rsidP="00F51C52">
      <w:pPr>
        <w:pStyle w:val="Style49"/>
        <w:widowControl/>
        <w:jc w:val="center"/>
        <w:rPr>
          <w:rStyle w:val="FontStyle122"/>
          <w:sz w:val="16"/>
          <w:szCs w:val="16"/>
        </w:rPr>
      </w:pPr>
      <w:r>
        <w:rPr>
          <w:rStyle w:val="FontStyle122"/>
          <w:sz w:val="16"/>
        </w:rPr>
        <w:t>CONTADORES REGISTRADOS</w:t>
      </w:r>
    </w:p>
    <w:p w:rsidR="00EF4B60" w:rsidRDefault="00EF4B60" w:rsidP="00F51C52">
      <w:pPr>
        <w:pStyle w:val="Style52"/>
        <w:widowControl/>
        <w:spacing w:before="48"/>
        <w:jc w:val="both"/>
        <w:rPr>
          <w:sz w:val="22"/>
          <w:szCs w:val="22"/>
        </w:rPr>
      </w:pPr>
    </w:p>
    <w:tbl>
      <w:tblPr>
        <w:tblStyle w:val="TableGrid"/>
        <w:tblW w:w="0" w:type="auto"/>
        <w:tblLook w:val="01E0"/>
      </w:tblPr>
      <w:tblGrid>
        <w:gridCol w:w="6487"/>
        <w:gridCol w:w="2569"/>
      </w:tblGrid>
      <w:tr w:rsidR="00EF4B60" w:rsidTr="00915E8A">
        <w:tc>
          <w:tcPr>
            <w:tcW w:w="6487" w:type="dxa"/>
          </w:tcPr>
          <w:p w:rsidR="00EF4B60" w:rsidRPr="00274AAF" w:rsidRDefault="00EF4B60" w:rsidP="00F51C52">
            <w:pPr>
              <w:pStyle w:val="Style52"/>
              <w:widowControl/>
              <w:spacing w:before="48"/>
              <w:jc w:val="both"/>
              <w:rPr>
                <w:sz w:val="16"/>
                <w:szCs w:val="16"/>
              </w:rPr>
            </w:pPr>
            <w:r>
              <w:rPr>
                <w:sz w:val="16"/>
              </w:rPr>
              <w:t>JOSEPH VALENZANO (ilegible)</w:t>
            </w:r>
          </w:p>
          <w:p w:rsidR="00EF4B60" w:rsidRPr="00274AAF" w:rsidRDefault="00EF4B60" w:rsidP="00F51C52">
            <w:pPr>
              <w:pStyle w:val="Style52"/>
              <w:widowControl/>
              <w:spacing w:before="48"/>
              <w:jc w:val="both"/>
              <w:rPr>
                <w:sz w:val="16"/>
                <w:szCs w:val="16"/>
              </w:rPr>
            </w:pPr>
            <w:r>
              <w:rPr>
                <w:sz w:val="16"/>
              </w:rPr>
              <w:t>JOSEPH PILLO (ilegible)</w:t>
            </w:r>
          </w:p>
        </w:tc>
        <w:tc>
          <w:tcPr>
            <w:tcW w:w="2569" w:type="dxa"/>
          </w:tcPr>
          <w:p w:rsidR="00EF4B60" w:rsidRPr="00274AAF" w:rsidRDefault="00EF4B60" w:rsidP="00F51C52">
            <w:pPr>
              <w:pStyle w:val="Style52"/>
              <w:widowControl/>
              <w:spacing w:before="48"/>
              <w:jc w:val="both"/>
              <w:rPr>
                <w:sz w:val="16"/>
                <w:szCs w:val="16"/>
              </w:rPr>
            </w:pPr>
            <w:r>
              <w:rPr>
                <w:sz w:val="16"/>
              </w:rPr>
              <w:t>260 EDGELEY BLVD, UNIT 32</w:t>
            </w:r>
          </w:p>
          <w:p w:rsidR="00EF4B60" w:rsidRPr="00274AAF" w:rsidRDefault="00EF4B60" w:rsidP="00F51C52">
            <w:pPr>
              <w:pStyle w:val="Style52"/>
              <w:widowControl/>
              <w:spacing w:before="48"/>
              <w:jc w:val="both"/>
              <w:rPr>
                <w:sz w:val="16"/>
                <w:szCs w:val="16"/>
              </w:rPr>
            </w:pPr>
            <w:r>
              <w:rPr>
                <w:sz w:val="16"/>
              </w:rPr>
              <w:t>CONCORD, ONTARIO L4K 3Y4</w:t>
            </w:r>
          </w:p>
          <w:p w:rsidR="00EF4B60" w:rsidRPr="00274AAF" w:rsidRDefault="00EF4B60" w:rsidP="00F51C52">
            <w:pPr>
              <w:pStyle w:val="Style52"/>
              <w:widowControl/>
              <w:spacing w:before="48"/>
              <w:jc w:val="both"/>
              <w:rPr>
                <w:sz w:val="16"/>
                <w:szCs w:val="16"/>
              </w:rPr>
            </w:pPr>
            <w:r>
              <w:rPr>
                <w:sz w:val="16"/>
              </w:rPr>
              <w:t>(ilegible)</w:t>
            </w:r>
          </w:p>
        </w:tc>
      </w:tr>
    </w:tbl>
    <w:p w:rsidR="00EF4B60" w:rsidRPr="008A7FC1" w:rsidRDefault="00EF4B60" w:rsidP="00F51C52">
      <w:pPr>
        <w:pStyle w:val="Style52"/>
        <w:widowControl/>
        <w:spacing w:before="48"/>
        <w:jc w:val="both"/>
        <w:rPr>
          <w:sz w:val="22"/>
          <w:szCs w:val="22"/>
        </w:rPr>
      </w:pPr>
    </w:p>
    <w:p w:rsidR="00EF4B60" w:rsidRDefault="00EF4B60" w:rsidP="00F51C52">
      <w:pPr>
        <w:pStyle w:val="Style52"/>
        <w:widowControl/>
        <w:spacing w:before="48"/>
        <w:jc w:val="both"/>
        <w:rPr>
          <w:rStyle w:val="FontStyle106"/>
          <w:rFonts w:ascii="Times New Roman" w:hAnsi="Times New Roman" w:cs="Times New Roman"/>
          <w:sz w:val="22"/>
          <w:szCs w:val="22"/>
        </w:rPr>
      </w:pPr>
    </w:p>
    <w:p w:rsidR="00EF4B60" w:rsidRDefault="00EF4B60" w:rsidP="00F51C52">
      <w:pPr>
        <w:pStyle w:val="Style52"/>
        <w:widowControl/>
        <w:spacing w:before="48"/>
        <w:jc w:val="both"/>
        <w:rPr>
          <w:rStyle w:val="FontStyle106"/>
          <w:rFonts w:ascii="Times New Roman" w:hAnsi="Times New Roman" w:cs="Times New Roman"/>
          <w:sz w:val="22"/>
          <w:szCs w:val="22"/>
        </w:rPr>
      </w:pPr>
    </w:p>
    <w:p w:rsidR="00EF4B60" w:rsidRDefault="00EF4B60" w:rsidP="00F51C52">
      <w:pPr>
        <w:pStyle w:val="Style52"/>
        <w:widowControl/>
        <w:spacing w:before="48"/>
        <w:jc w:val="both"/>
        <w:rPr>
          <w:rStyle w:val="FontStyle106"/>
          <w:rFonts w:ascii="Times New Roman" w:hAnsi="Times New Roman" w:cs="Times New Roman"/>
          <w:sz w:val="22"/>
          <w:szCs w:val="22"/>
        </w:rPr>
      </w:pPr>
    </w:p>
    <w:p w:rsidR="00EF4B60" w:rsidRDefault="00EF4B60" w:rsidP="00F51C52">
      <w:pPr>
        <w:pStyle w:val="Style52"/>
        <w:widowControl/>
        <w:spacing w:before="48"/>
        <w:jc w:val="center"/>
        <w:rPr>
          <w:rStyle w:val="FontStyle106"/>
          <w:rFonts w:ascii="Times New Roman" w:hAnsi="Times New Roman" w:cs="Times New Roman"/>
          <w:sz w:val="22"/>
          <w:szCs w:val="22"/>
        </w:rPr>
      </w:pPr>
    </w:p>
    <w:p w:rsidR="00EF4B60" w:rsidRDefault="00EF4B60" w:rsidP="00F51C52">
      <w:pPr>
        <w:pStyle w:val="Style52"/>
        <w:widowControl/>
        <w:spacing w:before="48"/>
        <w:jc w:val="center"/>
        <w:rPr>
          <w:rStyle w:val="FontStyle106"/>
          <w:rFonts w:ascii="Times New Roman" w:hAnsi="Times New Roman" w:cs="Times New Roman"/>
          <w:sz w:val="22"/>
          <w:szCs w:val="22"/>
        </w:rPr>
      </w:pPr>
    </w:p>
    <w:p w:rsidR="00EF4B60" w:rsidRDefault="00EF4B60" w:rsidP="00F51C52">
      <w:pPr>
        <w:pStyle w:val="Style52"/>
        <w:widowControl/>
        <w:spacing w:before="48"/>
        <w:jc w:val="center"/>
        <w:rPr>
          <w:rStyle w:val="FontStyle106"/>
          <w:rFonts w:ascii="Times New Roman" w:hAnsi="Times New Roman" w:cs="Times New Roman"/>
          <w:sz w:val="22"/>
          <w:szCs w:val="22"/>
        </w:rPr>
      </w:pPr>
    </w:p>
    <w:p w:rsidR="00EF4B60" w:rsidRPr="001735F9" w:rsidRDefault="00EF4B60" w:rsidP="00F51C52">
      <w:pPr>
        <w:pStyle w:val="Style52"/>
        <w:widowControl/>
        <w:spacing w:before="48"/>
        <w:ind w:left="1134" w:right="1185"/>
        <w:jc w:val="center"/>
        <w:rPr>
          <w:rStyle w:val="FontStyle106"/>
          <w:rFonts w:ascii="Times New Roman" w:hAnsi="Times New Roman" w:cs="Times New Roman"/>
          <w:sz w:val="22"/>
          <w:szCs w:val="22"/>
        </w:rPr>
      </w:pPr>
      <w:r>
        <w:rPr>
          <w:rStyle w:val="FontStyle106"/>
          <w:rFonts w:ascii="Times New Roman" w:hAnsi="Times New Roman"/>
          <w:sz w:val="22"/>
        </w:rPr>
        <w:t>AVISO AL LECTOR</w:t>
      </w:r>
    </w:p>
    <w:p w:rsidR="00EF4B60" w:rsidRPr="001735F9" w:rsidRDefault="00EF4B60" w:rsidP="00F51C52">
      <w:pPr>
        <w:pStyle w:val="Style57"/>
        <w:widowControl/>
        <w:spacing w:line="240" w:lineRule="exact"/>
        <w:ind w:left="1134" w:right="1185"/>
        <w:rPr>
          <w:sz w:val="22"/>
          <w:szCs w:val="22"/>
        </w:rPr>
      </w:pPr>
    </w:p>
    <w:p w:rsidR="00EF4B60" w:rsidRPr="001735F9" w:rsidRDefault="00EF4B60" w:rsidP="00F51C52">
      <w:pPr>
        <w:pStyle w:val="Style57"/>
        <w:widowControl/>
        <w:spacing w:line="240" w:lineRule="exact"/>
        <w:ind w:left="1134" w:right="1185"/>
        <w:rPr>
          <w:sz w:val="22"/>
          <w:szCs w:val="22"/>
        </w:rPr>
      </w:pPr>
    </w:p>
    <w:p w:rsidR="00EF4B60" w:rsidRPr="0083455C" w:rsidRDefault="00EF4B60" w:rsidP="00F51C52">
      <w:pPr>
        <w:pStyle w:val="Style57"/>
        <w:widowControl/>
        <w:spacing w:after="240" w:line="240" w:lineRule="auto"/>
        <w:ind w:left="1134" w:right="1185"/>
        <w:rPr>
          <w:rStyle w:val="FontStyle108"/>
          <w:rFonts w:ascii="Times New Roman" w:hAnsi="Times New Roman" w:cs="Times New Roman"/>
          <w:sz w:val="20"/>
          <w:szCs w:val="20"/>
        </w:rPr>
      </w:pPr>
      <w:r w:rsidRPr="0083455C">
        <w:rPr>
          <w:sz w:val="20"/>
          <w:szCs w:val="20"/>
        </w:rPr>
        <w:t xml:space="preserve">En base a la información proporcionada por la gerencia, hemos compilado el balance general provisional de </w:t>
      </w:r>
      <w:r w:rsidRPr="0083455C">
        <w:rPr>
          <w:b/>
          <w:sz w:val="20"/>
          <w:szCs w:val="20"/>
        </w:rPr>
        <w:t xml:space="preserve">UNIVERSAL SETTLEMENTS INTERNATIONAL INC </w:t>
      </w:r>
      <w:r w:rsidRPr="0083455C">
        <w:rPr>
          <w:sz w:val="20"/>
          <w:szCs w:val="20"/>
        </w:rPr>
        <w:t xml:space="preserve">al </w:t>
      </w:r>
      <w:r w:rsidRPr="0083455C">
        <w:rPr>
          <w:b/>
          <w:sz w:val="20"/>
          <w:szCs w:val="20"/>
        </w:rPr>
        <w:t>30 de septiembre de 2008.</w:t>
      </w:r>
    </w:p>
    <w:p w:rsidR="00EF4B60" w:rsidRPr="0083455C" w:rsidRDefault="00EF4B60" w:rsidP="00F51C52">
      <w:pPr>
        <w:pStyle w:val="Style57"/>
        <w:widowControl/>
        <w:spacing w:after="240" w:line="240" w:lineRule="auto"/>
        <w:ind w:left="1134" w:right="1185"/>
        <w:rPr>
          <w:rStyle w:val="FontStyle116"/>
          <w:rFonts w:ascii="Times New Roman" w:hAnsi="Times New Roman" w:cs="Times New Roman"/>
          <w:sz w:val="20"/>
          <w:szCs w:val="20"/>
        </w:rPr>
      </w:pPr>
      <w:r w:rsidRPr="0083455C">
        <w:rPr>
          <w:rStyle w:val="FontStyle116"/>
          <w:rFonts w:ascii="Times New Roman" w:hAnsi="Times New Roman"/>
          <w:sz w:val="20"/>
          <w:szCs w:val="20"/>
        </w:rPr>
        <w:t>No hemos realizado una auditoría ni un trabajo de revisión en relación con este balance general provisional; en consecuencia, no expresamos ninguna seguridad sobre éste.</w:t>
      </w:r>
    </w:p>
    <w:p w:rsidR="00EF4B60" w:rsidRPr="0083455C" w:rsidRDefault="00EF4B60" w:rsidP="00F51C52">
      <w:pPr>
        <w:pStyle w:val="Style57"/>
        <w:widowControl/>
        <w:spacing w:after="240" w:line="240" w:lineRule="auto"/>
        <w:ind w:left="1134" w:right="1185"/>
        <w:rPr>
          <w:rStyle w:val="FontStyle116"/>
          <w:rFonts w:ascii="Times New Roman" w:hAnsi="Times New Roman" w:cs="Times New Roman"/>
          <w:sz w:val="20"/>
          <w:szCs w:val="20"/>
        </w:rPr>
      </w:pPr>
      <w:r w:rsidRPr="0083455C">
        <w:rPr>
          <w:rStyle w:val="FontStyle116"/>
          <w:rFonts w:ascii="Times New Roman" w:hAnsi="Times New Roman"/>
          <w:sz w:val="20"/>
          <w:szCs w:val="20"/>
        </w:rPr>
        <w:t>Se advierte a los lectores que este balance general provisional puede no ser adecuado para sus fines.</w:t>
      </w:r>
    </w:p>
    <w:p w:rsidR="00EF4B60" w:rsidRPr="0083455C" w:rsidRDefault="00EF4B60" w:rsidP="00F51C52">
      <w:pPr>
        <w:pStyle w:val="Style57"/>
        <w:widowControl/>
        <w:spacing w:before="139" w:line="240" w:lineRule="auto"/>
        <w:ind w:left="1134" w:right="1185"/>
        <w:rPr>
          <w:rStyle w:val="FontStyle116"/>
          <w:rFonts w:ascii="Times New Roman" w:hAnsi="Times New Roman" w:cs="Times New Roman"/>
          <w:sz w:val="20"/>
          <w:szCs w:val="20"/>
        </w:rPr>
      </w:pPr>
    </w:p>
    <w:p w:rsidR="00EF4B60" w:rsidRPr="0083455C" w:rsidRDefault="00EF4B60" w:rsidP="00F51C52">
      <w:pPr>
        <w:pStyle w:val="Style63"/>
        <w:widowControl/>
        <w:spacing w:line="240" w:lineRule="auto"/>
        <w:ind w:left="1440" w:right="1469"/>
        <w:rPr>
          <w:sz w:val="20"/>
          <w:szCs w:val="20"/>
        </w:rPr>
      </w:pPr>
    </w:p>
    <w:tbl>
      <w:tblPr>
        <w:tblStyle w:val="TableGrid"/>
        <w:tblW w:w="6804" w:type="dxa"/>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827"/>
        <w:gridCol w:w="2977"/>
      </w:tblGrid>
      <w:tr w:rsidR="00EF4B60" w:rsidRPr="0083455C" w:rsidTr="00915E8A">
        <w:tc>
          <w:tcPr>
            <w:tcW w:w="3827" w:type="dxa"/>
          </w:tcPr>
          <w:p w:rsidR="00EF4B60" w:rsidRPr="0083455C" w:rsidRDefault="00EF4B60" w:rsidP="00F51C52">
            <w:pPr>
              <w:pStyle w:val="Style57"/>
              <w:widowControl/>
              <w:spacing w:line="240" w:lineRule="auto"/>
              <w:jc w:val="left"/>
              <w:rPr>
                <w:rStyle w:val="FontStyle109"/>
                <w:rFonts w:ascii="Times New Roman" w:hAnsi="Times New Roman" w:cs="Times New Roman"/>
                <w:sz w:val="20"/>
                <w:szCs w:val="20"/>
              </w:rPr>
            </w:pPr>
          </w:p>
          <w:p w:rsidR="00EF4B60" w:rsidRPr="0083455C" w:rsidRDefault="00EF4B60" w:rsidP="00F51C52">
            <w:pPr>
              <w:pStyle w:val="Style57"/>
              <w:widowControl/>
              <w:spacing w:line="240" w:lineRule="auto"/>
              <w:jc w:val="left"/>
              <w:rPr>
                <w:rStyle w:val="FontStyle116"/>
                <w:rFonts w:ascii="Times New Roman" w:hAnsi="Times New Roman" w:cs="Times New Roman"/>
                <w:sz w:val="20"/>
                <w:szCs w:val="20"/>
              </w:rPr>
            </w:pPr>
            <w:r w:rsidRPr="0083455C">
              <w:rPr>
                <w:rStyle w:val="FontStyle109"/>
                <w:rFonts w:ascii="Times New Roman" w:hAnsi="Times New Roman"/>
                <w:sz w:val="20"/>
                <w:szCs w:val="20"/>
              </w:rPr>
              <w:t>Concord</w:t>
            </w:r>
            <w:r w:rsidRPr="0083455C">
              <w:rPr>
                <w:rStyle w:val="FontStyle116"/>
                <w:rFonts w:ascii="Times New Roman" w:hAnsi="Times New Roman"/>
                <w:sz w:val="20"/>
                <w:szCs w:val="20"/>
              </w:rPr>
              <w:t xml:space="preserve">, Ontario </w:t>
            </w:r>
          </w:p>
          <w:p w:rsidR="00EF4B60" w:rsidRPr="0083455C" w:rsidRDefault="00EF4B60" w:rsidP="00F51C52">
            <w:pPr>
              <w:pStyle w:val="Style57"/>
              <w:widowControl/>
              <w:spacing w:line="240" w:lineRule="auto"/>
              <w:jc w:val="left"/>
              <w:rPr>
                <w:bCs/>
                <w:sz w:val="20"/>
                <w:szCs w:val="20"/>
              </w:rPr>
            </w:pPr>
            <w:r w:rsidRPr="0083455C">
              <w:rPr>
                <w:rStyle w:val="FontStyle116"/>
                <w:rFonts w:ascii="Times New Roman" w:hAnsi="Times New Roman"/>
                <w:sz w:val="20"/>
                <w:szCs w:val="20"/>
              </w:rPr>
              <w:t>8 de noviembre de 2008</w:t>
            </w:r>
          </w:p>
        </w:tc>
        <w:tc>
          <w:tcPr>
            <w:tcW w:w="2977" w:type="dxa"/>
          </w:tcPr>
          <w:p w:rsidR="00EF4B60" w:rsidRPr="0083455C" w:rsidRDefault="00EF4B60" w:rsidP="00F51C52">
            <w:pPr>
              <w:pStyle w:val="Style63"/>
              <w:widowControl/>
              <w:spacing w:line="240" w:lineRule="auto"/>
              <w:rPr>
                <w:sz w:val="20"/>
                <w:szCs w:val="20"/>
              </w:rPr>
            </w:pPr>
            <w:r w:rsidRPr="0083455C">
              <w:rPr>
                <w:sz w:val="20"/>
                <w:szCs w:val="20"/>
              </w:rPr>
              <w:t>(firma ilegible)</w:t>
            </w:r>
          </w:p>
          <w:p w:rsidR="00EF4B60" w:rsidRPr="0083455C" w:rsidRDefault="00EF4B60" w:rsidP="00F51C52">
            <w:pPr>
              <w:pStyle w:val="Style63"/>
              <w:widowControl/>
              <w:spacing w:line="240" w:lineRule="auto"/>
              <w:rPr>
                <w:sz w:val="20"/>
                <w:szCs w:val="20"/>
              </w:rPr>
            </w:pPr>
            <w:r w:rsidRPr="0083455C">
              <w:rPr>
                <w:sz w:val="20"/>
                <w:szCs w:val="20"/>
              </w:rPr>
              <w:t>Valenzano &amp; Pillo LLP.</w:t>
            </w:r>
          </w:p>
          <w:p w:rsidR="00EF4B60" w:rsidRPr="0083455C" w:rsidRDefault="00EF4B60" w:rsidP="00F51C52">
            <w:pPr>
              <w:pStyle w:val="Style63"/>
              <w:widowControl/>
              <w:spacing w:line="240" w:lineRule="auto"/>
              <w:rPr>
                <w:sz w:val="20"/>
                <w:szCs w:val="20"/>
              </w:rPr>
            </w:pPr>
            <w:r w:rsidRPr="0083455C">
              <w:rPr>
                <w:sz w:val="20"/>
                <w:szCs w:val="20"/>
              </w:rPr>
              <w:t>Contadores Públicos Licenciados</w:t>
            </w:r>
          </w:p>
        </w:tc>
      </w:tr>
    </w:tbl>
    <w:p w:rsidR="00EF4B60" w:rsidRPr="00C14EF1" w:rsidRDefault="00EF4B60" w:rsidP="00F51C52">
      <w:pPr>
        <w:pStyle w:val="Style63"/>
        <w:widowControl/>
        <w:spacing w:line="240" w:lineRule="auto"/>
        <w:ind w:left="1134" w:right="1469"/>
        <w:rPr>
          <w:sz w:val="22"/>
          <w:szCs w:val="22"/>
        </w:rPr>
      </w:pPr>
    </w:p>
    <w:p w:rsidR="00EF4B60" w:rsidRPr="00EC29C6" w:rsidRDefault="00EF4B60" w:rsidP="00F51C52">
      <w:pPr>
        <w:pStyle w:val="Style63"/>
        <w:widowControl/>
        <w:spacing w:before="187" w:line="240" w:lineRule="auto"/>
        <w:ind w:right="6"/>
        <w:jc w:val="center"/>
        <w:rPr>
          <w:rStyle w:val="FontStyle116"/>
          <w:rFonts w:ascii="Times New Roman" w:hAnsi="Times New Roman" w:cs="Times New Roman"/>
          <w:b/>
          <w:sz w:val="20"/>
          <w:szCs w:val="20"/>
        </w:rPr>
      </w:pPr>
      <w:r>
        <w:br w:type="page"/>
      </w:r>
      <w:r w:rsidRPr="00EC29C6">
        <w:rPr>
          <w:rStyle w:val="FontStyle108"/>
          <w:rFonts w:ascii="Times New Roman" w:hAnsi="Times New Roman" w:cs="Times New Roman"/>
          <w:sz w:val="20"/>
          <w:szCs w:val="20"/>
        </w:rPr>
        <w:lastRenderedPageBreak/>
        <w:t xml:space="preserve">UNIVERSAL SETTLEMENTS </w:t>
      </w:r>
      <w:r w:rsidRPr="00EC29C6">
        <w:rPr>
          <w:rStyle w:val="FontStyle116"/>
          <w:rFonts w:ascii="Times New Roman" w:hAnsi="Times New Roman" w:cs="Times New Roman"/>
          <w:b/>
          <w:sz w:val="20"/>
          <w:szCs w:val="20"/>
        </w:rPr>
        <w:t>INTERNATIONAL INC.</w:t>
      </w:r>
    </w:p>
    <w:p w:rsidR="00EF4B60" w:rsidRPr="00EC29C6" w:rsidRDefault="00EF4B60" w:rsidP="00F51C52">
      <w:pPr>
        <w:pStyle w:val="Style72"/>
        <w:widowControl/>
        <w:spacing w:before="10" w:line="240" w:lineRule="auto"/>
        <w:rPr>
          <w:rStyle w:val="FontStyle116"/>
          <w:rFonts w:ascii="Times New Roman" w:hAnsi="Times New Roman" w:cs="Times New Roman"/>
          <w:b/>
          <w:sz w:val="20"/>
          <w:szCs w:val="20"/>
        </w:rPr>
      </w:pPr>
      <w:r w:rsidRPr="00EC29C6">
        <w:rPr>
          <w:rStyle w:val="FontStyle116"/>
          <w:rFonts w:ascii="Times New Roman" w:hAnsi="Times New Roman" w:cs="Times New Roman"/>
          <w:b/>
          <w:sz w:val="20"/>
          <w:szCs w:val="20"/>
        </w:rPr>
        <w:t>BALANCE GENERAL PROVISIONAL</w:t>
      </w:r>
    </w:p>
    <w:p w:rsidR="00EF4B60" w:rsidRPr="00EC29C6" w:rsidRDefault="00EF4B60" w:rsidP="00F51C52">
      <w:pPr>
        <w:pStyle w:val="Style72"/>
        <w:widowControl/>
        <w:spacing w:before="10" w:line="240" w:lineRule="auto"/>
        <w:rPr>
          <w:rStyle w:val="FontStyle116"/>
          <w:rFonts w:ascii="Times New Roman" w:hAnsi="Times New Roman" w:cs="Times New Roman"/>
          <w:b/>
          <w:sz w:val="20"/>
          <w:szCs w:val="20"/>
        </w:rPr>
      </w:pPr>
      <w:r w:rsidRPr="00EC29C6">
        <w:rPr>
          <w:rStyle w:val="FontStyle116"/>
          <w:rFonts w:ascii="Times New Roman" w:hAnsi="Times New Roman" w:cs="Times New Roman"/>
          <w:b/>
          <w:sz w:val="20"/>
          <w:szCs w:val="20"/>
        </w:rPr>
        <w:t>30 DE SEPTIEMBRE DE 2008</w:t>
      </w:r>
    </w:p>
    <w:p w:rsidR="00EF4B60" w:rsidRPr="00EC29C6" w:rsidRDefault="00EF4B60" w:rsidP="00F51C52">
      <w:pPr>
        <w:pStyle w:val="Style72"/>
        <w:widowControl/>
        <w:spacing w:before="10" w:line="240" w:lineRule="auto"/>
        <w:rPr>
          <w:rStyle w:val="FontStyle112"/>
          <w:rFonts w:ascii="Times New Roman" w:hAnsi="Times New Roman" w:cs="Times New Roman"/>
          <w:sz w:val="20"/>
          <w:szCs w:val="20"/>
        </w:rPr>
      </w:pPr>
      <w:r w:rsidRPr="00EC29C6">
        <w:rPr>
          <w:rStyle w:val="FontStyle116"/>
          <w:rFonts w:ascii="Times New Roman" w:hAnsi="Times New Roman" w:cs="Times New Roman"/>
          <w:sz w:val="20"/>
          <w:szCs w:val="20"/>
        </w:rPr>
        <w:t>(NO AUDITADO - VÉASE EL AVISO AL LECTOR</w:t>
      </w:r>
      <w:r w:rsidRPr="00EC29C6">
        <w:rPr>
          <w:rStyle w:val="FontStyle112"/>
          <w:rFonts w:ascii="Times New Roman" w:hAnsi="Times New Roman" w:cs="Times New Roman"/>
          <w:sz w:val="20"/>
          <w:szCs w:val="20"/>
        </w:rPr>
        <w:t>)</w:t>
      </w:r>
    </w:p>
    <w:p w:rsidR="00EF4B60" w:rsidRPr="00EC29C6" w:rsidRDefault="00EF4B60" w:rsidP="00F51C52">
      <w:pPr>
        <w:pStyle w:val="Style72"/>
        <w:widowControl/>
        <w:spacing w:before="10"/>
        <w:rPr>
          <w:rStyle w:val="FontStyle112"/>
          <w:rFonts w:ascii="Times New Roman" w:hAnsi="Times New Roman" w:cs="Times New Roman"/>
          <w:sz w:val="20"/>
          <w:szCs w:val="20"/>
        </w:rPr>
      </w:pPr>
    </w:p>
    <w:p w:rsidR="00EF4B60" w:rsidRPr="00EC29C6" w:rsidRDefault="00EF4B60" w:rsidP="00F51C52">
      <w:pPr>
        <w:pStyle w:val="Style72"/>
        <w:widowControl/>
        <w:spacing w:before="10"/>
        <w:rPr>
          <w:rStyle w:val="FontStyle112"/>
          <w:rFonts w:ascii="Times New Roman" w:hAnsi="Times New Roman" w:cs="Times New Roman"/>
          <w:sz w:val="20"/>
          <w:szCs w:val="20"/>
        </w:rPr>
      </w:pPr>
    </w:p>
    <w:p w:rsidR="00EF4B60" w:rsidRPr="00EC29C6" w:rsidRDefault="00EF4B60" w:rsidP="00F51C52">
      <w:pPr>
        <w:pStyle w:val="Style57"/>
        <w:widowControl/>
        <w:spacing w:line="240" w:lineRule="auto"/>
        <w:ind w:right="431"/>
        <w:jc w:val="center"/>
        <w:rPr>
          <w:rStyle w:val="FontStyle114"/>
          <w:rFonts w:ascii="Times New Roman" w:hAnsi="Times New Roman" w:cs="Times New Roman"/>
          <w:b/>
          <w:sz w:val="20"/>
          <w:szCs w:val="20"/>
        </w:rPr>
      </w:pPr>
      <w:r w:rsidRPr="00EC29C6">
        <w:rPr>
          <w:rStyle w:val="FontStyle116"/>
          <w:rFonts w:ascii="Times New Roman" w:hAnsi="Times New Roman" w:cs="Times New Roman"/>
          <w:b/>
          <w:sz w:val="20"/>
          <w:szCs w:val="20"/>
        </w:rPr>
        <w:t>ACTIVOS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951"/>
        <w:gridCol w:w="5245"/>
        <w:gridCol w:w="1860"/>
      </w:tblGrid>
      <w:tr w:rsidR="00EF4B60" w:rsidRPr="00EC29C6" w:rsidTr="00915E8A">
        <w:tc>
          <w:tcPr>
            <w:tcW w:w="7196" w:type="dxa"/>
            <w:gridSpan w:val="2"/>
          </w:tcPr>
          <w:p w:rsidR="00EF4B60" w:rsidRPr="00EC29C6" w:rsidRDefault="00EF4B60" w:rsidP="00F51C52">
            <w:pPr>
              <w:pStyle w:val="Style57"/>
              <w:widowControl/>
              <w:spacing w:line="240" w:lineRule="exact"/>
              <w:rPr>
                <w:sz w:val="20"/>
                <w:szCs w:val="20"/>
              </w:rPr>
            </w:pPr>
          </w:p>
        </w:tc>
        <w:tc>
          <w:tcPr>
            <w:tcW w:w="1860" w:type="dxa"/>
          </w:tcPr>
          <w:p w:rsidR="00EF4B60" w:rsidRPr="00EC29C6" w:rsidRDefault="00EF4B60" w:rsidP="00F51C52">
            <w:pPr>
              <w:pStyle w:val="Style57"/>
              <w:widowControl/>
              <w:spacing w:line="240" w:lineRule="exact"/>
              <w:jc w:val="center"/>
              <w:rPr>
                <w:sz w:val="20"/>
                <w:szCs w:val="20"/>
              </w:rPr>
            </w:pPr>
            <w:r w:rsidRPr="00EC29C6">
              <w:rPr>
                <w:sz w:val="20"/>
                <w:szCs w:val="20"/>
              </w:rPr>
              <w:t>30 de septiembre</w:t>
            </w:r>
          </w:p>
          <w:p w:rsidR="00EF4B60" w:rsidRPr="00EC29C6" w:rsidRDefault="00EF4B60" w:rsidP="00F51C52">
            <w:pPr>
              <w:pStyle w:val="Style57"/>
              <w:widowControl/>
              <w:spacing w:line="240" w:lineRule="exact"/>
              <w:jc w:val="center"/>
              <w:rPr>
                <w:sz w:val="20"/>
                <w:szCs w:val="20"/>
              </w:rPr>
            </w:pPr>
            <w:r w:rsidRPr="00EC29C6">
              <w:rPr>
                <w:sz w:val="20"/>
                <w:szCs w:val="20"/>
                <w:u w:val="single"/>
              </w:rPr>
              <w:t>2008</w:t>
            </w:r>
          </w:p>
        </w:tc>
      </w:tr>
      <w:tr w:rsidR="00EF4B60" w:rsidRPr="00EC29C6" w:rsidTr="00915E8A">
        <w:tc>
          <w:tcPr>
            <w:tcW w:w="7196" w:type="dxa"/>
            <w:gridSpan w:val="2"/>
          </w:tcPr>
          <w:p w:rsidR="00EF4B60" w:rsidRPr="00EC29C6" w:rsidRDefault="00EF4B60" w:rsidP="00F51C52">
            <w:pPr>
              <w:pStyle w:val="Style57"/>
              <w:widowControl/>
              <w:spacing w:line="240" w:lineRule="exact"/>
              <w:rPr>
                <w:sz w:val="20"/>
                <w:szCs w:val="20"/>
              </w:rPr>
            </w:pPr>
          </w:p>
        </w:tc>
        <w:tc>
          <w:tcPr>
            <w:tcW w:w="1860" w:type="dxa"/>
          </w:tcPr>
          <w:p w:rsidR="00EF4B60" w:rsidRPr="00EC29C6" w:rsidRDefault="00EF4B60" w:rsidP="00F51C52">
            <w:pPr>
              <w:pStyle w:val="Style57"/>
              <w:widowControl/>
              <w:spacing w:line="240" w:lineRule="exact"/>
              <w:rPr>
                <w:sz w:val="20"/>
                <w:szCs w:val="20"/>
              </w:rPr>
            </w:pPr>
          </w:p>
        </w:tc>
      </w:tr>
      <w:tr w:rsidR="00EF4B60" w:rsidRPr="00EC29C6" w:rsidTr="00915E8A">
        <w:tc>
          <w:tcPr>
            <w:tcW w:w="7196" w:type="dxa"/>
            <w:gridSpan w:val="2"/>
          </w:tcPr>
          <w:p w:rsidR="00EF4B60" w:rsidRPr="00EC29C6" w:rsidRDefault="00EF4B60" w:rsidP="00F51C52">
            <w:pPr>
              <w:pStyle w:val="Style13"/>
              <w:widowControl/>
              <w:spacing w:line="187" w:lineRule="exact"/>
              <w:rPr>
                <w:b/>
                <w:sz w:val="20"/>
                <w:szCs w:val="20"/>
              </w:rPr>
            </w:pPr>
            <w:r w:rsidRPr="00EC29C6">
              <w:rPr>
                <w:rStyle w:val="FontStyle105"/>
                <w:rFonts w:ascii="Times New Roman" w:hAnsi="Times New Roman" w:cs="Times New Roman"/>
                <w:b/>
                <w:sz w:val="20"/>
                <w:szCs w:val="20"/>
              </w:rPr>
              <w:t>ACTIVO CIRCULANTE</w:t>
            </w:r>
          </w:p>
        </w:tc>
        <w:tc>
          <w:tcPr>
            <w:tcW w:w="1860" w:type="dxa"/>
          </w:tcPr>
          <w:p w:rsidR="00EF4B60" w:rsidRPr="00EC29C6" w:rsidRDefault="00EF4B60" w:rsidP="00F51C52">
            <w:pPr>
              <w:pStyle w:val="Style57"/>
              <w:widowControl/>
              <w:spacing w:line="240" w:lineRule="exact"/>
              <w:rPr>
                <w:sz w:val="20"/>
                <w:szCs w:val="20"/>
              </w:rPr>
            </w:pPr>
          </w:p>
        </w:tc>
      </w:tr>
      <w:tr w:rsidR="00EF4B60" w:rsidRPr="00EC29C6" w:rsidTr="00915E8A">
        <w:tc>
          <w:tcPr>
            <w:tcW w:w="7196" w:type="dxa"/>
            <w:gridSpan w:val="2"/>
          </w:tcPr>
          <w:p w:rsidR="00EF4B60" w:rsidRPr="00EC29C6" w:rsidRDefault="00EF4B60" w:rsidP="00F51C52">
            <w:pPr>
              <w:pStyle w:val="Style66"/>
              <w:widowControl/>
              <w:spacing w:line="187" w:lineRule="exact"/>
              <w:ind w:left="293"/>
              <w:rPr>
                <w:rStyle w:val="FontStyle105"/>
                <w:rFonts w:ascii="Times New Roman" w:hAnsi="Times New Roman" w:cs="Times New Roman"/>
                <w:sz w:val="20"/>
                <w:szCs w:val="20"/>
              </w:rPr>
            </w:pPr>
            <w:r w:rsidRPr="00EC29C6">
              <w:rPr>
                <w:rStyle w:val="FontStyle116"/>
                <w:rFonts w:ascii="Times New Roman" w:hAnsi="Times New Roman" w:cs="Times New Roman"/>
                <w:sz w:val="20"/>
                <w:szCs w:val="20"/>
              </w:rPr>
              <w:t>Efectivo</w:t>
            </w:r>
          </w:p>
        </w:tc>
        <w:tc>
          <w:tcPr>
            <w:tcW w:w="1860" w:type="dxa"/>
          </w:tcPr>
          <w:p w:rsidR="00EF4B60" w:rsidRPr="00EC29C6" w:rsidRDefault="00EF4B60" w:rsidP="00F51C52">
            <w:pPr>
              <w:pStyle w:val="Style57"/>
              <w:widowControl/>
              <w:spacing w:line="240" w:lineRule="exact"/>
              <w:jc w:val="right"/>
              <w:rPr>
                <w:sz w:val="20"/>
                <w:szCs w:val="20"/>
              </w:rPr>
            </w:pPr>
            <w:r w:rsidRPr="00EC29C6">
              <w:rPr>
                <w:sz w:val="20"/>
                <w:szCs w:val="20"/>
              </w:rPr>
              <w:t>$     26,107</w:t>
            </w:r>
          </w:p>
        </w:tc>
      </w:tr>
      <w:tr w:rsidR="00EF4B60" w:rsidRPr="00EC29C6" w:rsidTr="00915E8A">
        <w:tc>
          <w:tcPr>
            <w:tcW w:w="7196" w:type="dxa"/>
            <w:gridSpan w:val="2"/>
          </w:tcPr>
          <w:p w:rsidR="00EF4B60" w:rsidRPr="00EC29C6" w:rsidRDefault="00EF4B60" w:rsidP="00F51C52">
            <w:pPr>
              <w:pStyle w:val="Style66"/>
              <w:widowControl/>
              <w:spacing w:line="187" w:lineRule="exact"/>
              <w:ind w:left="293"/>
              <w:rPr>
                <w:rStyle w:val="FontStyle116"/>
                <w:rFonts w:ascii="Times New Roman" w:hAnsi="Times New Roman" w:cs="Times New Roman"/>
                <w:sz w:val="20"/>
                <w:szCs w:val="20"/>
              </w:rPr>
            </w:pPr>
            <w:r w:rsidRPr="00EC29C6">
              <w:rPr>
                <w:sz w:val="20"/>
                <w:szCs w:val="20"/>
              </w:rPr>
              <w:t>Cuentas por cobrar</w:t>
            </w:r>
            <w:r w:rsidRPr="00EC29C6">
              <w:rPr>
                <w:rStyle w:val="FontStyle108"/>
                <w:rFonts w:ascii="Times New Roman" w:hAnsi="Times New Roman" w:cs="Times New Roman"/>
                <w:sz w:val="20"/>
                <w:szCs w:val="20"/>
              </w:rPr>
              <w:t xml:space="preserve"> </w:t>
            </w:r>
          </w:p>
        </w:tc>
        <w:tc>
          <w:tcPr>
            <w:tcW w:w="1860" w:type="dxa"/>
          </w:tcPr>
          <w:p w:rsidR="00EF4B60" w:rsidRPr="00EC29C6" w:rsidRDefault="00EF4B60" w:rsidP="00F51C52">
            <w:pPr>
              <w:pStyle w:val="Style57"/>
              <w:widowControl/>
              <w:spacing w:line="240" w:lineRule="exact"/>
              <w:jc w:val="right"/>
              <w:rPr>
                <w:sz w:val="20"/>
                <w:szCs w:val="20"/>
              </w:rPr>
            </w:pPr>
            <w:r w:rsidRPr="00EC29C6">
              <w:rPr>
                <w:sz w:val="20"/>
                <w:szCs w:val="20"/>
              </w:rPr>
              <w:t>1,492</w:t>
            </w:r>
          </w:p>
        </w:tc>
      </w:tr>
      <w:tr w:rsidR="00EF4B60" w:rsidRPr="00EC29C6" w:rsidTr="00915E8A">
        <w:tc>
          <w:tcPr>
            <w:tcW w:w="7196" w:type="dxa"/>
            <w:gridSpan w:val="2"/>
          </w:tcPr>
          <w:p w:rsidR="00EF4B60" w:rsidRPr="00EC29C6" w:rsidRDefault="00EF4B60" w:rsidP="00F51C52">
            <w:pPr>
              <w:pStyle w:val="Style66"/>
              <w:widowControl/>
              <w:spacing w:line="187" w:lineRule="exact"/>
              <w:ind w:left="293"/>
              <w:rPr>
                <w:rStyle w:val="FontStyle116"/>
                <w:rFonts w:ascii="Times New Roman" w:hAnsi="Times New Roman" w:cs="Times New Roman"/>
                <w:sz w:val="20"/>
                <w:szCs w:val="20"/>
              </w:rPr>
            </w:pPr>
            <w:r w:rsidRPr="00EC29C6">
              <w:rPr>
                <w:sz w:val="20"/>
                <w:szCs w:val="20"/>
              </w:rPr>
              <w:t>Patrimonio neto en las pólizas de liquidación de seguro de vida</w:t>
            </w:r>
            <w:r w:rsidRPr="00EC29C6">
              <w:rPr>
                <w:rStyle w:val="FontStyle116"/>
                <w:rFonts w:ascii="Times New Roman" w:hAnsi="Times New Roman" w:cs="Times New Roman"/>
                <w:sz w:val="20"/>
                <w:szCs w:val="20"/>
              </w:rPr>
              <w:t xml:space="preserve"> </w:t>
            </w:r>
          </w:p>
        </w:tc>
        <w:tc>
          <w:tcPr>
            <w:tcW w:w="1860" w:type="dxa"/>
          </w:tcPr>
          <w:p w:rsidR="00EF4B60" w:rsidRPr="00EC29C6" w:rsidRDefault="00EF4B60" w:rsidP="00F51C52">
            <w:pPr>
              <w:pStyle w:val="Style57"/>
              <w:widowControl/>
              <w:spacing w:line="240" w:lineRule="exact"/>
              <w:jc w:val="right"/>
              <w:rPr>
                <w:sz w:val="20"/>
                <w:szCs w:val="20"/>
              </w:rPr>
            </w:pPr>
            <w:r w:rsidRPr="00EC29C6">
              <w:rPr>
                <w:sz w:val="20"/>
                <w:szCs w:val="20"/>
              </w:rPr>
              <w:t>3,000,000</w:t>
            </w:r>
          </w:p>
        </w:tc>
      </w:tr>
      <w:tr w:rsidR="00EF4B60" w:rsidRPr="00EC29C6" w:rsidTr="00915E8A">
        <w:tc>
          <w:tcPr>
            <w:tcW w:w="7196" w:type="dxa"/>
            <w:gridSpan w:val="2"/>
          </w:tcPr>
          <w:p w:rsidR="00EF4B60" w:rsidRPr="00EC29C6" w:rsidRDefault="00EF4B60" w:rsidP="00F51C52">
            <w:pPr>
              <w:pStyle w:val="Style66"/>
              <w:widowControl/>
              <w:spacing w:line="187" w:lineRule="exact"/>
              <w:ind w:left="293"/>
              <w:rPr>
                <w:rStyle w:val="FontStyle116"/>
                <w:rFonts w:ascii="Times New Roman" w:hAnsi="Times New Roman" w:cs="Times New Roman"/>
                <w:sz w:val="20"/>
                <w:szCs w:val="20"/>
              </w:rPr>
            </w:pPr>
            <w:r w:rsidRPr="00EC29C6">
              <w:rPr>
                <w:rStyle w:val="FontStyle116"/>
                <w:rFonts w:ascii="Times New Roman" w:hAnsi="Times New Roman" w:cs="Times New Roman"/>
                <w:sz w:val="20"/>
                <w:szCs w:val="20"/>
              </w:rPr>
              <w:t>Propiedad, planta &amp; equipo (neto de amortización acumulada de $71,361)</w:t>
            </w:r>
          </w:p>
        </w:tc>
        <w:tc>
          <w:tcPr>
            <w:tcW w:w="1860" w:type="dxa"/>
          </w:tcPr>
          <w:p w:rsidR="00EF4B60" w:rsidRPr="00EC29C6" w:rsidRDefault="00EF4B60" w:rsidP="00F51C52">
            <w:pPr>
              <w:pStyle w:val="Style57"/>
              <w:widowControl/>
              <w:spacing w:line="240" w:lineRule="exact"/>
              <w:jc w:val="right"/>
              <w:rPr>
                <w:sz w:val="20"/>
                <w:szCs w:val="20"/>
              </w:rPr>
            </w:pPr>
            <w:r w:rsidRPr="00EC29C6">
              <w:rPr>
                <w:sz w:val="20"/>
                <w:szCs w:val="20"/>
              </w:rPr>
              <w:t>298,659</w:t>
            </w:r>
          </w:p>
        </w:tc>
      </w:tr>
      <w:tr w:rsidR="00EF4B60" w:rsidRPr="00EC29C6" w:rsidTr="00915E8A">
        <w:tc>
          <w:tcPr>
            <w:tcW w:w="7196" w:type="dxa"/>
            <w:gridSpan w:val="2"/>
          </w:tcPr>
          <w:p w:rsidR="00EF4B60" w:rsidRPr="00EC29C6" w:rsidRDefault="00EF4B60" w:rsidP="00F51C52">
            <w:pPr>
              <w:pStyle w:val="Style66"/>
              <w:widowControl/>
              <w:spacing w:line="187" w:lineRule="exact"/>
              <w:ind w:left="293"/>
              <w:rPr>
                <w:rStyle w:val="FontStyle116"/>
                <w:rFonts w:ascii="Times New Roman" w:hAnsi="Times New Roman" w:cs="Times New Roman"/>
                <w:sz w:val="20"/>
                <w:szCs w:val="20"/>
              </w:rPr>
            </w:pPr>
            <w:r w:rsidRPr="00EC29C6">
              <w:rPr>
                <w:rStyle w:val="FontStyle116"/>
                <w:rFonts w:ascii="Times New Roman" w:hAnsi="Times New Roman" w:cs="Times New Roman"/>
                <w:sz w:val="20"/>
                <w:szCs w:val="20"/>
              </w:rPr>
              <w:t>Gastos prepagados y activos diversos</w:t>
            </w:r>
          </w:p>
        </w:tc>
        <w:tc>
          <w:tcPr>
            <w:tcW w:w="1860" w:type="dxa"/>
          </w:tcPr>
          <w:p w:rsidR="00EF4B60" w:rsidRPr="00EC29C6" w:rsidRDefault="00EF4B60" w:rsidP="00F51C52">
            <w:pPr>
              <w:pStyle w:val="Style57"/>
              <w:widowControl/>
              <w:spacing w:line="240" w:lineRule="exact"/>
              <w:jc w:val="right"/>
              <w:rPr>
                <w:sz w:val="20"/>
                <w:szCs w:val="20"/>
                <w:u w:val="single"/>
              </w:rPr>
            </w:pPr>
            <w:r w:rsidRPr="00EC29C6">
              <w:rPr>
                <w:sz w:val="20"/>
                <w:szCs w:val="20"/>
                <w:u w:val="single"/>
              </w:rPr>
              <w:t>37,343</w:t>
            </w:r>
          </w:p>
        </w:tc>
      </w:tr>
      <w:tr w:rsidR="00EF4B60" w:rsidRPr="00EC29C6" w:rsidTr="00915E8A">
        <w:tc>
          <w:tcPr>
            <w:tcW w:w="7196" w:type="dxa"/>
            <w:gridSpan w:val="2"/>
          </w:tcPr>
          <w:p w:rsidR="00EF4B60" w:rsidRPr="00EC29C6" w:rsidRDefault="00EF4B60" w:rsidP="00F51C52">
            <w:pPr>
              <w:pStyle w:val="Style66"/>
              <w:widowControl/>
              <w:spacing w:line="187" w:lineRule="exact"/>
              <w:ind w:left="293"/>
              <w:rPr>
                <w:rStyle w:val="FontStyle116"/>
                <w:rFonts w:ascii="Times New Roman" w:hAnsi="Times New Roman" w:cs="Times New Roman"/>
                <w:sz w:val="20"/>
                <w:szCs w:val="20"/>
              </w:rPr>
            </w:pPr>
          </w:p>
        </w:tc>
        <w:tc>
          <w:tcPr>
            <w:tcW w:w="1860" w:type="dxa"/>
          </w:tcPr>
          <w:p w:rsidR="00EF4B60" w:rsidRPr="00EC29C6" w:rsidRDefault="00EF4B60" w:rsidP="00F51C52">
            <w:pPr>
              <w:pStyle w:val="Style57"/>
              <w:widowControl/>
              <w:spacing w:line="240" w:lineRule="exact"/>
              <w:jc w:val="right"/>
              <w:rPr>
                <w:sz w:val="20"/>
                <w:szCs w:val="20"/>
              </w:rPr>
            </w:pPr>
          </w:p>
          <w:p w:rsidR="00EF4B60" w:rsidRPr="00EC29C6" w:rsidRDefault="00EF4B60" w:rsidP="00F51C52">
            <w:pPr>
              <w:pStyle w:val="Style57"/>
              <w:widowControl/>
              <w:spacing w:line="240" w:lineRule="exact"/>
              <w:jc w:val="right"/>
              <w:rPr>
                <w:sz w:val="20"/>
                <w:szCs w:val="20"/>
              </w:rPr>
            </w:pPr>
            <w:r w:rsidRPr="00EC29C6">
              <w:rPr>
                <w:sz w:val="20"/>
                <w:szCs w:val="20"/>
              </w:rPr>
              <w:t xml:space="preserve">$ </w:t>
            </w:r>
            <w:r w:rsidRPr="00EC29C6">
              <w:rPr>
                <w:sz w:val="20"/>
                <w:szCs w:val="20"/>
                <w:u w:val="single"/>
              </w:rPr>
              <w:t>3,363,601</w:t>
            </w:r>
          </w:p>
        </w:tc>
      </w:tr>
      <w:tr w:rsidR="00EF4B60" w:rsidRPr="00EC29C6" w:rsidTr="00915E8A">
        <w:tc>
          <w:tcPr>
            <w:tcW w:w="9056" w:type="dxa"/>
            <w:gridSpan w:val="3"/>
          </w:tcPr>
          <w:p w:rsidR="00EF4B60" w:rsidRPr="00EC29C6" w:rsidRDefault="00EF4B60" w:rsidP="00F51C52">
            <w:pPr>
              <w:pStyle w:val="Style10"/>
              <w:widowControl/>
              <w:spacing w:line="240" w:lineRule="auto"/>
              <w:jc w:val="center"/>
              <w:rPr>
                <w:rStyle w:val="FontStyle116"/>
                <w:rFonts w:ascii="Times New Roman" w:hAnsi="Times New Roman" w:cs="Times New Roman"/>
                <w:sz w:val="20"/>
                <w:szCs w:val="20"/>
              </w:rPr>
            </w:pPr>
          </w:p>
          <w:p w:rsidR="00EF4B60" w:rsidRPr="00EC29C6" w:rsidRDefault="00EF4B60" w:rsidP="00F51C52">
            <w:pPr>
              <w:pStyle w:val="Style10"/>
              <w:widowControl/>
              <w:spacing w:line="240" w:lineRule="auto"/>
              <w:jc w:val="center"/>
              <w:rPr>
                <w:sz w:val="20"/>
                <w:szCs w:val="20"/>
              </w:rPr>
            </w:pPr>
            <w:r w:rsidRPr="00EC29C6">
              <w:rPr>
                <w:rStyle w:val="FontStyle116"/>
                <w:rFonts w:ascii="Times New Roman" w:hAnsi="Times New Roman" w:cs="Times New Roman"/>
                <w:b/>
                <w:sz w:val="20"/>
                <w:szCs w:val="20"/>
              </w:rPr>
              <w:t>PASIVOS</w:t>
            </w:r>
          </w:p>
        </w:tc>
      </w:tr>
      <w:tr w:rsidR="00EF4B60" w:rsidRPr="00EC29C6" w:rsidTr="00915E8A">
        <w:tc>
          <w:tcPr>
            <w:tcW w:w="7196" w:type="dxa"/>
            <w:gridSpan w:val="2"/>
          </w:tcPr>
          <w:p w:rsidR="00EF4B60" w:rsidRPr="00EC29C6" w:rsidRDefault="00EF4B60" w:rsidP="00F51C52">
            <w:pPr>
              <w:pStyle w:val="Style10"/>
              <w:widowControl/>
              <w:spacing w:line="240" w:lineRule="auto"/>
              <w:jc w:val="center"/>
              <w:rPr>
                <w:rStyle w:val="FontStyle116"/>
                <w:rFonts w:ascii="Times New Roman" w:hAnsi="Times New Roman" w:cs="Times New Roman"/>
                <w:sz w:val="20"/>
                <w:szCs w:val="20"/>
              </w:rPr>
            </w:pPr>
          </w:p>
        </w:tc>
        <w:tc>
          <w:tcPr>
            <w:tcW w:w="1860" w:type="dxa"/>
          </w:tcPr>
          <w:p w:rsidR="00EF4B60" w:rsidRPr="00EC29C6" w:rsidRDefault="00EF4B60" w:rsidP="00F51C52">
            <w:pPr>
              <w:pStyle w:val="Style57"/>
              <w:widowControl/>
              <w:spacing w:line="240" w:lineRule="exact"/>
              <w:jc w:val="center"/>
              <w:rPr>
                <w:sz w:val="20"/>
                <w:szCs w:val="20"/>
              </w:rPr>
            </w:pPr>
            <w:r w:rsidRPr="00EC29C6">
              <w:rPr>
                <w:sz w:val="20"/>
                <w:szCs w:val="20"/>
              </w:rPr>
              <w:t>30 de septiembre</w:t>
            </w:r>
          </w:p>
          <w:p w:rsidR="00EF4B60" w:rsidRPr="00EC29C6" w:rsidRDefault="00EF4B60" w:rsidP="00F51C52">
            <w:pPr>
              <w:pStyle w:val="Style57"/>
              <w:widowControl/>
              <w:spacing w:line="240" w:lineRule="exact"/>
              <w:jc w:val="center"/>
              <w:rPr>
                <w:sz w:val="20"/>
                <w:szCs w:val="20"/>
                <w:u w:val="single"/>
              </w:rPr>
            </w:pPr>
            <w:r w:rsidRPr="00EC29C6">
              <w:rPr>
                <w:sz w:val="20"/>
                <w:szCs w:val="20"/>
                <w:u w:val="single"/>
              </w:rPr>
              <w:t>2008</w:t>
            </w:r>
          </w:p>
          <w:p w:rsidR="00EF4B60" w:rsidRPr="00EC29C6" w:rsidRDefault="00EF4B60" w:rsidP="00F51C52">
            <w:pPr>
              <w:pStyle w:val="Style57"/>
              <w:widowControl/>
              <w:spacing w:line="240" w:lineRule="exact"/>
              <w:jc w:val="center"/>
              <w:rPr>
                <w:sz w:val="20"/>
                <w:szCs w:val="20"/>
              </w:rPr>
            </w:pPr>
          </w:p>
        </w:tc>
      </w:tr>
      <w:tr w:rsidR="00EF4B60" w:rsidRPr="00EC29C6" w:rsidTr="00915E8A">
        <w:tc>
          <w:tcPr>
            <w:tcW w:w="7196" w:type="dxa"/>
            <w:gridSpan w:val="2"/>
          </w:tcPr>
          <w:p w:rsidR="00EF4B60" w:rsidRPr="00EC29C6" w:rsidRDefault="00EF4B60" w:rsidP="00F51C52">
            <w:pPr>
              <w:pStyle w:val="Style66"/>
              <w:widowControl/>
              <w:spacing w:line="187" w:lineRule="exact"/>
              <w:ind w:left="293"/>
              <w:rPr>
                <w:rStyle w:val="FontStyle116"/>
                <w:rFonts w:ascii="Times New Roman" w:hAnsi="Times New Roman" w:cs="Times New Roman"/>
                <w:sz w:val="20"/>
                <w:szCs w:val="20"/>
              </w:rPr>
            </w:pPr>
            <w:r w:rsidRPr="00EC29C6">
              <w:rPr>
                <w:rStyle w:val="FontStyle116"/>
                <w:rFonts w:ascii="Times New Roman" w:hAnsi="Times New Roman" w:cs="Times New Roman"/>
                <w:sz w:val="20"/>
                <w:szCs w:val="20"/>
              </w:rPr>
              <w:t>Cuentas por pagar y pasivos acumulados</w:t>
            </w:r>
          </w:p>
        </w:tc>
        <w:tc>
          <w:tcPr>
            <w:tcW w:w="1860" w:type="dxa"/>
          </w:tcPr>
          <w:p w:rsidR="00EF4B60" w:rsidRPr="00EC29C6" w:rsidRDefault="00EF4B60" w:rsidP="00F51C52">
            <w:pPr>
              <w:pStyle w:val="Style57"/>
              <w:widowControl/>
              <w:spacing w:line="240" w:lineRule="exact"/>
              <w:jc w:val="right"/>
              <w:rPr>
                <w:sz w:val="20"/>
                <w:szCs w:val="20"/>
              </w:rPr>
            </w:pPr>
            <w:r w:rsidRPr="00EC29C6">
              <w:rPr>
                <w:sz w:val="20"/>
                <w:szCs w:val="20"/>
              </w:rPr>
              <w:t>$  1,443,725</w:t>
            </w:r>
          </w:p>
        </w:tc>
      </w:tr>
      <w:tr w:rsidR="00EF4B60" w:rsidRPr="00EC29C6" w:rsidTr="00915E8A">
        <w:tc>
          <w:tcPr>
            <w:tcW w:w="7196" w:type="dxa"/>
            <w:gridSpan w:val="2"/>
          </w:tcPr>
          <w:p w:rsidR="00EF4B60" w:rsidRPr="00EC29C6" w:rsidRDefault="00EF4B60" w:rsidP="00F51C52">
            <w:pPr>
              <w:pStyle w:val="Style66"/>
              <w:widowControl/>
              <w:spacing w:line="187" w:lineRule="exact"/>
              <w:ind w:left="293"/>
              <w:rPr>
                <w:rStyle w:val="FontStyle116"/>
                <w:rFonts w:ascii="Times New Roman" w:hAnsi="Times New Roman" w:cs="Times New Roman"/>
                <w:sz w:val="20"/>
                <w:szCs w:val="20"/>
              </w:rPr>
            </w:pPr>
            <w:r w:rsidRPr="00EC29C6">
              <w:rPr>
                <w:sz w:val="20"/>
                <w:szCs w:val="20"/>
              </w:rPr>
              <w:t>Préstamos por pagar</w:t>
            </w:r>
          </w:p>
        </w:tc>
        <w:tc>
          <w:tcPr>
            <w:tcW w:w="1860" w:type="dxa"/>
          </w:tcPr>
          <w:p w:rsidR="00EF4B60" w:rsidRPr="00EC29C6" w:rsidRDefault="00EF4B60" w:rsidP="00F51C52">
            <w:pPr>
              <w:pStyle w:val="Style57"/>
              <w:widowControl/>
              <w:spacing w:line="240" w:lineRule="exact"/>
              <w:jc w:val="right"/>
              <w:rPr>
                <w:sz w:val="20"/>
                <w:szCs w:val="20"/>
                <w:u w:val="single"/>
              </w:rPr>
            </w:pPr>
            <w:r w:rsidRPr="00EC29C6">
              <w:rPr>
                <w:sz w:val="20"/>
                <w:szCs w:val="20"/>
                <w:u w:val="single"/>
              </w:rPr>
              <w:t>1,350,000</w:t>
            </w:r>
          </w:p>
        </w:tc>
      </w:tr>
      <w:tr w:rsidR="00EF4B60" w:rsidRPr="00EC29C6" w:rsidTr="00915E8A">
        <w:tc>
          <w:tcPr>
            <w:tcW w:w="7196" w:type="dxa"/>
            <w:gridSpan w:val="2"/>
          </w:tcPr>
          <w:p w:rsidR="00EF4B60" w:rsidRPr="00EC29C6" w:rsidRDefault="00EF4B60" w:rsidP="00F51C52">
            <w:pPr>
              <w:pStyle w:val="Style66"/>
              <w:widowControl/>
              <w:spacing w:line="187" w:lineRule="exact"/>
              <w:ind w:left="293"/>
              <w:rPr>
                <w:rStyle w:val="FontStyle116"/>
                <w:rFonts w:ascii="Times New Roman" w:hAnsi="Times New Roman" w:cs="Times New Roman"/>
                <w:sz w:val="20"/>
                <w:szCs w:val="20"/>
              </w:rPr>
            </w:pPr>
          </w:p>
        </w:tc>
        <w:tc>
          <w:tcPr>
            <w:tcW w:w="1860" w:type="dxa"/>
          </w:tcPr>
          <w:p w:rsidR="00EF4B60" w:rsidRPr="00EC29C6" w:rsidRDefault="00EF4B60" w:rsidP="00F51C52">
            <w:pPr>
              <w:pStyle w:val="Style58"/>
              <w:widowControl/>
              <w:spacing w:before="5"/>
              <w:ind w:right="5"/>
              <w:rPr>
                <w:sz w:val="20"/>
                <w:szCs w:val="20"/>
                <w:u w:val="single"/>
              </w:rPr>
            </w:pPr>
            <w:r w:rsidRPr="00EC29C6">
              <w:rPr>
                <w:rStyle w:val="FontStyle114"/>
                <w:rFonts w:ascii="Times New Roman" w:hAnsi="Times New Roman" w:cs="Times New Roman"/>
                <w:sz w:val="20"/>
                <w:szCs w:val="20"/>
                <w:u w:val="single"/>
              </w:rPr>
              <w:t>2,763,</w:t>
            </w:r>
            <w:r w:rsidRPr="00EC29C6">
              <w:rPr>
                <w:rStyle w:val="FontStyle116"/>
                <w:rFonts w:ascii="Times New Roman" w:hAnsi="Times New Roman" w:cs="Times New Roman"/>
                <w:sz w:val="20"/>
                <w:szCs w:val="20"/>
                <w:u w:val="single"/>
              </w:rPr>
              <w:t>725</w:t>
            </w:r>
          </w:p>
        </w:tc>
      </w:tr>
      <w:tr w:rsidR="00EF4B60" w:rsidRPr="00EC29C6" w:rsidTr="00915E8A">
        <w:tc>
          <w:tcPr>
            <w:tcW w:w="9056" w:type="dxa"/>
            <w:gridSpan w:val="3"/>
          </w:tcPr>
          <w:p w:rsidR="00EF4B60" w:rsidRPr="00EC29C6" w:rsidRDefault="00EF4B60" w:rsidP="00F51C52">
            <w:pPr>
              <w:pStyle w:val="Style10"/>
              <w:widowControl/>
              <w:spacing w:line="240" w:lineRule="auto"/>
              <w:jc w:val="center"/>
              <w:rPr>
                <w:rStyle w:val="FontStyle116"/>
                <w:rFonts w:ascii="Times New Roman" w:hAnsi="Times New Roman" w:cs="Times New Roman"/>
                <w:b/>
                <w:sz w:val="20"/>
                <w:szCs w:val="20"/>
              </w:rPr>
            </w:pPr>
          </w:p>
          <w:p w:rsidR="00EF4B60" w:rsidRPr="00EC29C6" w:rsidRDefault="00EF4B60" w:rsidP="00F51C52">
            <w:pPr>
              <w:pStyle w:val="Style57"/>
              <w:widowControl/>
              <w:spacing w:before="106" w:line="240" w:lineRule="auto"/>
              <w:ind w:left="3365"/>
              <w:rPr>
                <w:rStyle w:val="FontStyle116"/>
                <w:rFonts w:ascii="Times New Roman" w:hAnsi="Times New Roman" w:cs="Times New Roman"/>
                <w:b/>
                <w:sz w:val="20"/>
                <w:szCs w:val="20"/>
              </w:rPr>
            </w:pPr>
            <w:r w:rsidRPr="00EC29C6">
              <w:rPr>
                <w:rStyle w:val="FontStyle116"/>
                <w:rFonts w:ascii="Times New Roman" w:hAnsi="Times New Roman" w:cs="Times New Roman"/>
                <w:b/>
                <w:sz w:val="20"/>
                <w:szCs w:val="20"/>
              </w:rPr>
              <w:t>PATRIMONIO DE LOS ACCIONISTAS</w:t>
            </w:r>
          </w:p>
          <w:p w:rsidR="00EF4B60" w:rsidRPr="00EC29C6" w:rsidRDefault="00EF4B60" w:rsidP="00F51C52">
            <w:pPr>
              <w:pStyle w:val="Style57"/>
              <w:widowControl/>
              <w:spacing w:line="240" w:lineRule="exact"/>
              <w:jc w:val="right"/>
              <w:rPr>
                <w:b/>
                <w:sz w:val="20"/>
                <w:szCs w:val="20"/>
              </w:rPr>
            </w:pPr>
          </w:p>
        </w:tc>
      </w:tr>
      <w:tr w:rsidR="00EF4B60" w:rsidRPr="00EC29C6" w:rsidTr="00915E8A">
        <w:tc>
          <w:tcPr>
            <w:tcW w:w="7196" w:type="dxa"/>
            <w:gridSpan w:val="2"/>
          </w:tcPr>
          <w:p w:rsidR="00EF4B60" w:rsidRPr="00EC29C6" w:rsidRDefault="00EF4B60" w:rsidP="00F51C52">
            <w:pPr>
              <w:pStyle w:val="Style13"/>
              <w:widowControl/>
              <w:spacing w:line="187" w:lineRule="exact"/>
              <w:rPr>
                <w:b/>
                <w:sz w:val="20"/>
                <w:szCs w:val="20"/>
              </w:rPr>
            </w:pPr>
            <w:r w:rsidRPr="00EC29C6">
              <w:rPr>
                <w:rStyle w:val="FontStyle105"/>
                <w:rFonts w:ascii="Times New Roman" w:hAnsi="Times New Roman" w:cs="Times New Roman"/>
                <w:b/>
                <w:sz w:val="20"/>
                <w:szCs w:val="20"/>
              </w:rPr>
              <w:t>CAPITAL SOCIAL</w:t>
            </w:r>
          </w:p>
        </w:tc>
        <w:tc>
          <w:tcPr>
            <w:tcW w:w="1860" w:type="dxa"/>
          </w:tcPr>
          <w:p w:rsidR="00EF4B60" w:rsidRPr="00EC29C6" w:rsidRDefault="00EF4B60" w:rsidP="00F51C52">
            <w:pPr>
              <w:pStyle w:val="Style57"/>
              <w:widowControl/>
              <w:spacing w:line="240" w:lineRule="exact"/>
              <w:rPr>
                <w:sz w:val="20"/>
                <w:szCs w:val="20"/>
              </w:rPr>
            </w:pPr>
          </w:p>
        </w:tc>
      </w:tr>
      <w:tr w:rsidR="00EF4B60" w:rsidRPr="00EC29C6" w:rsidTr="00915E8A">
        <w:tc>
          <w:tcPr>
            <w:tcW w:w="7196" w:type="dxa"/>
            <w:gridSpan w:val="2"/>
          </w:tcPr>
          <w:p w:rsidR="00EF4B60" w:rsidRPr="00EC29C6" w:rsidRDefault="00EF4B60" w:rsidP="00F51C52">
            <w:pPr>
              <w:pStyle w:val="Style66"/>
              <w:widowControl/>
              <w:spacing w:line="187" w:lineRule="exact"/>
              <w:ind w:left="293"/>
              <w:rPr>
                <w:rStyle w:val="FontStyle116"/>
                <w:rFonts w:ascii="Times New Roman" w:hAnsi="Times New Roman" w:cs="Times New Roman"/>
                <w:sz w:val="20"/>
                <w:szCs w:val="20"/>
              </w:rPr>
            </w:pPr>
            <w:r w:rsidRPr="00EC29C6">
              <w:rPr>
                <w:rStyle w:val="FontStyle116"/>
                <w:rFonts w:ascii="Times New Roman" w:hAnsi="Times New Roman" w:cs="Times New Roman"/>
                <w:sz w:val="20"/>
                <w:szCs w:val="20"/>
              </w:rPr>
              <w:t>Capital declarado</w:t>
            </w:r>
          </w:p>
        </w:tc>
        <w:tc>
          <w:tcPr>
            <w:tcW w:w="1860" w:type="dxa"/>
          </w:tcPr>
          <w:p w:rsidR="00EF4B60" w:rsidRPr="00EC29C6" w:rsidRDefault="00EF4B60" w:rsidP="00F51C52">
            <w:pPr>
              <w:pStyle w:val="Style57"/>
              <w:widowControl/>
              <w:spacing w:line="240" w:lineRule="exact"/>
              <w:jc w:val="right"/>
              <w:rPr>
                <w:sz w:val="20"/>
                <w:szCs w:val="20"/>
              </w:rPr>
            </w:pPr>
          </w:p>
        </w:tc>
      </w:tr>
      <w:tr w:rsidR="00EF4B60" w:rsidRPr="00EC29C6" w:rsidTr="00915E8A">
        <w:tc>
          <w:tcPr>
            <w:tcW w:w="1951" w:type="dxa"/>
          </w:tcPr>
          <w:p w:rsidR="00EF4B60" w:rsidRPr="00EC29C6" w:rsidRDefault="00EF4B60" w:rsidP="00F51C52">
            <w:pPr>
              <w:pStyle w:val="Style66"/>
              <w:widowControl/>
              <w:spacing w:line="187" w:lineRule="exact"/>
              <w:ind w:left="720"/>
              <w:rPr>
                <w:rStyle w:val="FontStyle116"/>
                <w:rFonts w:ascii="Times New Roman" w:hAnsi="Times New Roman" w:cs="Times New Roman"/>
                <w:sz w:val="20"/>
                <w:szCs w:val="20"/>
              </w:rPr>
            </w:pPr>
            <w:r w:rsidRPr="00EC29C6">
              <w:rPr>
                <w:rStyle w:val="FontStyle116"/>
                <w:rFonts w:ascii="Times New Roman" w:hAnsi="Times New Roman" w:cs="Times New Roman"/>
                <w:sz w:val="20"/>
                <w:szCs w:val="20"/>
              </w:rPr>
              <w:t>Ilimitado</w:t>
            </w:r>
          </w:p>
        </w:tc>
        <w:tc>
          <w:tcPr>
            <w:tcW w:w="5245" w:type="dxa"/>
          </w:tcPr>
          <w:p w:rsidR="00EF4B60" w:rsidRPr="00EC29C6" w:rsidRDefault="00EF4B60" w:rsidP="00F51C52">
            <w:pPr>
              <w:pStyle w:val="Style66"/>
              <w:widowControl/>
              <w:spacing w:line="187" w:lineRule="exact"/>
              <w:ind w:left="293"/>
              <w:rPr>
                <w:rStyle w:val="FontStyle116"/>
                <w:rFonts w:ascii="Times New Roman" w:hAnsi="Times New Roman" w:cs="Times New Roman"/>
                <w:sz w:val="20"/>
                <w:szCs w:val="20"/>
              </w:rPr>
            </w:pPr>
            <w:r w:rsidRPr="00EC29C6">
              <w:rPr>
                <w:rStyle w:val="FontStyle116"/>
                <w:rFonts w:ascii="Times New Roman" w:hAnsi="Times New Roman" w:cs="Times New Roman"/>
                <w:sz w:val="20"/>
                <w:szCs w:val="20"/>
              </w:rPr>
              <w:t>Acciones comunes</w:t>
            </w:r>
          </w:p>
        </w:tc>
        <w:tc>
          <w:tcPr>
            <w:tcW w:w="1860" w:type="dxa"/>
          </w:tcPr>
          <w:p w:rsidR="00EF4B60" w:rsidRPr="00EC29C6" w:rsidRDefault="00EF4B60" w:rsidP="00F51C52">
            <w:pPr>
              <w:pStyle w:val="Style57"/>
              <w:widowControl/>
              <w:spacing w:line="240" w:lineRule="exact"/>
              <w:jc w:val="right"/>
              <w:rPr>
                <w:sz w:val="20"/>
                <w:szCs w:val="20"/>
              </w:rPr>
            </w:pPr>
          </w:p>
        </w:tc>
      </w:tr>
      <w:tr w:rsidR="00EF4B60" w:rsidRPr="00EC29C6" w:rsidTr="00915E8A">
        <w:tc>
          <w:tcPr>
            <w:tcW w:w="1951" w:type="dxa"/>
          </w:tcPr>
          <w:p w:rsidR="00EF4B60" w:rsidRPr="00EC29C6" w:rsidRDefault="00EF4B60" w:rsidP="00F51C52">
            <w:pPr>
              <w:pStyle w:val="Style66"/>
              <w:widowControl/>
              <w:spacing w:line="187" w:lineRule="exact"/>
              <w:ind w:left="720"/>
              <w:rPr>
                <w:rStyle w:val="FontStyle116"/>
                <w:rFonts w:ascii="Times New Roman" w:hAnsi="Times New Roman" w:cs="Times New Roman"/>
                <w:sz w:val="20"/>
                <w:szCs w:val="20"/>
              </w:rPr>
            </w:pPr>
            <w:r w:rsidRPr="00EC29C6">
              <w:rPr>
                <w:rStyle w:val="FontStyle116"/>
                <w:rFonts w:ascii="Times New Roman" w:hAnsi="Times New Roman" w:cs="Times New Roman"/>
                <w:sz w:val="20"/>
                <w:szCs w:val="20"/>
              </w:rPr>
              <w:t>1,000,000</w:t>
            </w:r>
          </w:p>
        </w:tc>
        <w:tc>
          <w:tcPr>
            <w:tcW w:w="5245" w:type="dxa"/>
          </w:tcPr>
          <w:p w:rsidR="00EF4B60" w:rsidRPr="00EC29C6" w:rsidRDefault="00EF4B60" w:rsidP="00F51C52">
            <w:pPr>
              <w:pStyle w:val="Style66"/>
              <w:widowControl/>
              <w:spacing w:line="187" w:lineRule="exact"/>
              <w:ind w:left="293"/>
              <w:rPr>
                <w:rStyle w:val="FontStyle116"/>
                <w:rFonts w:ascii="Times New Roman" w:hAnsi="Times New Roman" w:cs="Times New Roman"/>
                <w:sz w:val="20"/>
                <w:szCs w:val="20"/>
              </w:rPr>
            </w:pPr>
            <w:r w:rsidRPr="00EC29C6">
              <w:rPr>
                <w:rStyle w:val="FontStyle116"/>
                <w:rFonts w:ascii="Times New Roman" w:hAnsi="Times New Roman" w:cs="Times New Roman"/>
                <w:sz w:val="20"/>
                <w:szCs w:val="20"/>
              </w:rPr>
              <w:t>Acciones especiales Clase “A”, no acumulativas, sin tasa de dividendo fija, amortizables, amortizables antes del vencimiento, sin derecho a voto</w:t>
            </w:r>
          </w:p>
        </w:tc>
        <w:tc>
          <w:tcPr>
            <w:tcW w:w="1860" w:type="dxa"/>
          </w:tcPr>
          <w:p w:rsidR="00EF4B60" w:rsidRPr="00EC29C6" w:rsidRDefault="00EF4B60" w:rsidP="00F51C52">
            <w:pPr>
              <w:pStyle w:val="Style57"/>
              <w:widowControl/>
              <w:spacing w:line="240" w:lineRule="exact"/>
              <w:jc w:val="right"/>
              <w:rPr>
                <w:sz w:val="20"/>
                <w:szCs w:val="20"/>
              </w:rPr>
            </w:pPr>
          </w:p>
        </w:tc>
      </w:tr>
      <w:tr w:rsidR="00EF4B60" w:rsidRPr="00EC29C6" w:rsidTr="00915E8A">
        <w:tc>
          <w:tcPr>
            <w:tcW w:w="7196" w:type="dxa"/>
            <w:gridSpan w:val="2"/>
          </w:tcPr>
          <w:p w:rsidR="00EF4B60" w:rsidRPr="00EC29C6" w:rsidRDefault="00EF4B60" w:rsidP="00F51C52">
            <w:pPr>
              <w:pStyle w:val="Style66"/>
              <w:widowControl/>
              <w:spacing w:line="187" w:lineRule="exact"/>
              <w:ind w:left="293"/>
              <w:rPr>
                <w:rStyle w:val="FontStyle116"/>
                <w:rFonts w:ascii="Times New Roman" w:hAnsi="Times New Roman" w:cs="Times New Roman"/>
                <w:sz w:val="20"/>
                <w:szCs w:val="20"/>
              </w:rPr>
            </w:pPr>
            <w:r w:rsidRPr="00EC29C6">
              <w:rPr>
                <w:rStyle w:val="FontStyle116"/>
                <w:rFonts w:ascii="Times New Roman" w:hAnsi="Times New Roman" w:cs="Times New Roman"/>
                <w:sz w:val="20"/>
                <w:szCs w:val="20"/>
              </w:rPr>
              <w:t>Emitidas</w:t>
            </w:r>
          </w:p>
        </w:tc>
        <w:tc>
          <w:tcPr>
            <w:tcW w:w="1860" w:type="dxa"/>
          </w:tcPr>
          <w:p w:rsidR="00EF4B60" w:rsidRPr="00EC29C6" w:rsidRDefault="00EF4B60" w:rsidP="00F51C52">
            <w:pPr>
              <w:pStyle w:val="Style57"/>
              <w:widowControl/>
              <w:spacing w:line="240" w:lineRule="exact"/>
              <w:jc w:val="right"/>
              <w:rPr>
                <w:sz w:val="20"/>
                <w:szCs w:val="20"/>
              </w:rPr>
            </w:pPr>
          </w:p>
        </w:tc>
      </w:tr>
      <w:tr w:rsidR="00EF4B60" w:rsidRPr="00EC29C6" w:rsidTr="00915E8A">
        <w:tc>
          <w:tcPr>
            <w:tcW w:w="1951" w:type="dxa"/>
          </w:tcPr>
          <w:p w:rsidR="00EF4B60" w:rsidRPr="00EC29C6" w:rsidRDefault="00EF4B60" w:rsidP="00F51C52">
            <w:pPr>
              <w:pStyle w:val="Style66"/>
              <w:widowControl/>
              <w:spacing w:line="187" w:lineRule="exact"/>
              <w:ind w:left="720"/>
              <w:jc w:val="right"/>
              <w:rPr>
                <w:rStyle w:val="FontStyle116"/>
                <w:rFonts w:ascii="Times New Roman" w:hAnsi="Times New Roman" w:cs="Times New Roman"/>
                <w:sz w:val="20"/>
                <w:szCs w:val="20"/>
              </w:rPr>
            </w:pPr>
            <w:r w:rsidRPr="00EC29C6">
              <w:rPr>
                <w:rStyle w:val="FontStyle116"/>
                <w:rFonts w:ascii="Times New Roman" w:hAnsi="Times New Roman" w:cs="Times New Roman"/>
                <w:sz w:val="20"/>
                <w:szCs w:val="20"/>
              </w:rPr>
              <w:t>2</w:t>
            </w:r>
          </w:p>
        </w:tc>
        <w:tc>
          <w:tcPr>
            <w:tcW w:w="5245" w:type="dxa"/>
          </w:tcPr>
          <w:p w:rsidR="00EF4B60" w:rsidRPr="00EC29C6" w:rsidRDefault="00EF4B60" w:rsidP="00F51C52">
            <w:pPr>
              <w:pStyle w:val="Style66"/>
              <w:widowControl/>
              <w:spacing w:line="187" w:lineRule="exact"/>
              <w:ind w:left="293"/>
              <w:rPr>
                <w:rStyle w:val="FontStyle116"/>
                <w:rFonts w:ascii="Times New Roman" w:hAnsi="Times New Roman" w:cs="Times New Roman"/>
                <w:sz w:val="20"/>
                <w:szCs w:val="20"/>
              </w:rPr>
            </w:pPr>
            <w:r w:rsidRPr="00EC29C6">
              <w:rPr>
                <w:rStyle w:val="FontStyle116"/>
                <w:rFonts w:ascii="Times New Roman" w:hAnsi="Times New Roman" w:cs="Times New Roman"/>
                <w:sz w:val="20"/>
                <w:szCs w:val="20"/>
              </w:rPr>
              <w:t>Acciones comunes</w:t>
            </w:r>
          </w:p>
        </w:tc>
        <w:tc>
          <w:tcPr>
            <w:tcW w:w="1860" w:type="dxa"/>
          </w:tcPr>
          <w:p w:rsidR="00EF4B60" w:rsidRPr="00EC29C6" w:rsidRDefault="00EF4B60" w:rsidP="00F51C52">
            <w:pPr>
              <w:pStyle w:val="Style57"/>
              <w:widowControl/>
              <w:spacing w:line="240" w:lineRule="exact"/>
              <w:jc w:val="right"/>
              <w:rPr>
                <w:sz w:val="20"/>
                <w:szCs w:val="20"/>
              </w:rPr>
            </w:pPr>
            <w:r w:rsidRPr="00EC29C6">
              <w:rPr>
                <w:sz w:val="20"/>
                <w:szCs w:val="20"/>
              </w:rPr>
              <w:t>2</w:t>
            </w:r>
          </w:p>
        </w:tc>
      </w:tr>
      <w:tr w:rsidR="00EF4B60" w:rsidRPr="00EC29C6" w:rsidTr="00915E8A">
        <w:tc>
          <w:tcPr>
            <w:tcW w:w="7196" w:type="dxa"/>
            <w:gridSpan w:val="2"/>
          </w:tcPr>
          <w:p w:rsidR="00EF4B60" w:rsidRPr="00EC29C6" w:rsidRDefault="00EF4B60" w:rsidP="00F51C52">
            <w:pPr>
              <w:pStyle w:val="Style4"/>
              <w:widowControl/>
              <w:spacing w:before="216"/>
              <w:jc w:val="both"/>
              <w:rPr>
                <w:rStyle w:val="FontStyle116"/>
                <w:rFonts w:ascii="Times New Roman" w:hAnsi="Times New Roman" w:cs="Times New Roman"/>
                <w:b/>
                <w:bCs/>
                <w:sz w:val="20"/>
                <w:szCs w:val="20"/>
              </w:rPr>
            </w:pPr>
            <w:r w:rsidRPr="00EC29C6">
              <w:rPr>
                <w:b/>
                <w:sz w:val="20"/>
                <w:szCs w:val="20"/>
              </w:rPr>
              <w:t>GANANCIAS NO DISTRIBUIDAS</w:t>
            </w:r>
          </w:p>
        </w:tc>
        <w:tc>
          <w:tcPr>
            <w:tcW w:w="1860" w:type="dxa"/>
          </w:tcPr>
          <w:p w:rsidR="00EF4B60" w:rsidRPr="00EC29C6" w:rsidRDefault="00EF4B60" w:rsidP="00F51C52">
            <w:pPr>
              <w:pStyle w:val="Style57"/>
              <w:widowControl/>
              <w:spacing w:line="240" w:lineRule="exact"/>
              <w:jc w:val="right"/>
              <w:rPr>
                <w:sz w:val="20"/>
                <w:szCs w:val="20"/>
              </w:rPr>
            </w:pPr>
          </w:p>
          <w:p w:rsidR="00EF4B60" w:rsidRPr="00EC29C6" w:rsidRDefault="00EF4B60" w:rsidP="00F51C52">
            <w:pPr>
              <w:pStyle w:val="Style57"/>
              <w:widowControl/>
              <w:spacing w:line="360" w:lineRule="auto"/>
              <w:jc w:val="right"/>
              <w:rPr>
                <w:sz w:val="20"/>
                <w:szCs w:val="20"/>
                <w:u w:val="single"/>
              </w:rPr>
            </w:pPr>
            <w:r w:rsidRPr="00EC29C6">
              <w:rPr>
                <w:sz w:val="20"/>
                <w:szCs w:val="20"/>
                <w:u w:val="single"/>
              </w:rPr>
              <w:t>569,874</w:t>
            </w:r>
          </w:p>
        </w:tc>
      </w:tr>
      <w:tr w:rsidR="00EF4B60" w:rsidRPr="00EC29C6" w:rsidTr="00915E8A">
        <w:tc>
          <w:tcPr>
            <w:tcW w:w="7196" w:type="dxa"/>
            <w:gridSpan w:val="2"/>
          </w:tcPr>
          <w:p w:rsidR="00EF4B60" w:rsidRPr="00EC29C6" w:rsidRDefault="00EF4B60" w:rsidP="00F51C52">
            <w:pPr>
              <w:pStyle w:val="Style4"/>
              <w:widowControl/>
              <w:spacing w:before="216"/>
              <w:jc w:val="both"/>
              <w:rPr>
                <w:rStyle w:val="FontStyle117"/>
                <w:rFonts w:ascii="Times New Roman" w:hAnsi="Times New Roman" w:cs="Times New Roman"/>
                <w:b/>
                <w:sz w:val="20"/>
                <w:szCs w:val="20"/>
              </w:rPr>
            </w:pPr>
          </w:p>
        </w:tc>
        <w:tc>
          <w:tcPr>
            <w:tcW w:w="1860" w:type="dxa"/>
          </w:tcPr>
          <w:p w:rsidR="00EF4B60" w:rsidRPr="00EC29C6" w:rsidRDefault="00EF4B60" w:rsidP="00F51C52">
            <w:pPr>
              <w:pStyle w:val="Style57"/>
              <w:widowControl/>
              <w:spacing w:line="240" w:lineRule="exact"/>
              <w:jc w:val="right"/>
              <w:rPr>
                <w:sz w:val="20"/>
                <w:szCs w:val="20"/>
                <w:u w:val="single"/>
              </w:rPr>
            </w:pPr>
            <w:r w:rsidRPr="00EC29C6">
              <w:rPr>
                <w:sz w:val="20"/>
                <w:szCs w:val="20"/>
                <w:u w:val="single"/>
              </w:rPr>
              <w:t>559,876</w:t>
            </w:r>
          </w:p>
        </w:tc>
      </w:tr>
      <w:tr w:rsidR="00EF4B60" w:rsidRPr="00EC29C6" w:rsidTr="00915E8A">
        <w:tc>
          <w:tcPr>
            <w:tcW w:w="7196" w:type="dxa"/>
            <w:gridSpan w:val="2"/>
          </w:tcPr>
          <w:p w:rsidR="00EF4B60" w:rsidRPr="00EC29C6" w:rsidRDefault="00EF4B60" w:rsidP="00F51C52">
            <w:pPr>
              <w:pStyle w:val="Style4"/>
              <w:widowControl/>
              <w:spacing w:before="216"/>
              <w:jc w:val="both"/>
              <w:rPr>
                <w:rStyle w:val="FontStyle117"/>
                <w:rFonts w:ascii="Times New Roman" w:hAnsi="Times New Roman" w:cs="Times New Roman"/>
                <w:b/>
                <w:sz w:val="20"/>
                <w:szCs w:val="20"/>
              </w:rPr>
            </w:pPr>
          </w:p>
        </w:tc>
        <w:tc>
          <w:tcPr>
            <w:tcW w:w="1860" w:type="dxa"/>
          </w:tcPr>
          <w:p w:rsidR="00EF4B60" w:rsidRPr="00EC29C6" w:rsidRDefault="00EF4B60" w:rsidP="00F51C52">
            <w:pPr>
              <w:pStyle w:val="Style57"/>
              <w:widowControl/>
              <w:spacing w:line="240" w:lineRule="exact"/>
              <w:jc w:val="right"/>
              <w:rPr>
                <w:sz w:val="20"/>
                <w:szCs w:val="20"/>
                <w:u w:val="single"/>
              </w:rPr>
            </w:pPr>
            <w:r w:rsidRPr="00EC29C6">
              <w:rPr>
                <w:sz w:val="20"/>
                <w:szCs w:val="20"/>
                <w:u w:val="single"/>
              </w:rPr>
              <w:t>$  3,363,601</w:t>
            </w:r>
          </w:p>
        </w:tc>
      </w:tr>
    </w:tbl>
    <w:p w:rsidR="00EF4B60" w:rsidRPr="00EC29C6" w:rsidRDefault="00EF4B60" w:rsidP="00F51C52">
      <w:pPr>
        <w:pStyle w:val="Style23"/>
        <w:widowControl/>
        <w:spacing w:line="240" w:lineRule="exact"/>
        <w:ind w:left="5064"/>
        <w:jc w:val="both"/>
        <w:rPr>
          <w:sz w:val="20"/>
          <w:szCs w:val="20"/>
        </w:rPr>
      </w:pPr>
    </w:p>
    <w:p w:rsidR="00EF4B60" w:rsidRPr="00EC29C6" w:rsidRDefault="00EF4B60" w:rsidP="00F51C52">
      <w:pPr>
        <w:pStyle w:val="Style23"/>
        <w:widowControl/>
        <w:spacing w:before="158"/>
        <w:ind w:left="5064"/>
        <w:jc w:val="center"/>
        <w:rPr>
          <w:rStyle w:val="FontStyle109"/>
          <w:rFonts w:ascii="Times New Roman" w:hAnsi="Times New Roman" w:cs="Times New Roman"/>
          <w:sz w:val="20"/>
          <w:szCs w:val="20"/>
        </w:rPr>
      </w:pPr>
      <w:r w:rsidRPr="00EC29C6">
        <w:rPr>
          <w:rStyle w:val="FontStyle109"/>
          <w:rFonts w:ascii="Times New Roman" w:hAnsi="Times New Roman" w:cs="Times New Roman"/>
          <w:sz w:val="20"/>
          <w:szCs w:val="20"/>
        </w:rPr>
        <w:t>APROBADO</w:t>
      </w:r>
      <w:r w:rsidRPr="00EC29C6">
        <w:rPr>
          <w:sz w:val="20"/>
          <w:szCs w:val="20"/>
        </w:rPr>
        <w:t xml:space="preserve"> </w:t>
      </w:r>
      <w:r w:rsidRPr="00EC29C6">
        <w:rPr>
          <w:rStyle w:val="FontStyle118"/>
          <w:rFonts w:ascii="Times New Roman" w:hAnsi="Times New Roman" w:cs="Times New Roman"/>
          <w:sz w:val="20"/>
          <w:szCs w:val="20"/>
        </w:rPr>
        <w:t>EN NOMBRE DEL CONSEJO</w:t>
      </w:r>
    </w:p>
    <w:p w:rsidR="00EF4B60" w:rsidRPr="00EC29C6" w:rsidRDefault="00EF4B60" w:rsidP="00F51C52">
      <w:pPr>
        <w:pStyle w:val="Style23"/>
        <w:widowControl/>
        <w:jc w:val="center"/>
        <w:rPr>
          <w:rStyle w:val="FontStyle109"/>
          <w:rFonts w:ascii="Times New Roman" w:hAnsi="Times New Roman" w:cs="Times New Roman"/>
          <w:sz w:val="20"/>
          <w:szCs w:val="20"/>
        </w:rPr>
      </w:pPr>
    </w:p>
    <w:p w:rsidR="00EF4B60" w:rsidRPr="00EC29C6" w:rsidRDefault="00EF4B60" w:rsidP="00F51C52">
      <w:pPr>
        <w:pStyle w:val="Style23"/>
        <w:widowControl/>
        <w:jc w:val="center"/>
        <w:rPr>
          <w:rStyle w:val="FontStyle109"/>
          <w:rFonts w:ascii="Times New Roman" w:hAnsi="Times New Roman" w:cs="Times New Roman"/>
          <w:sz w:val="20"/>
          <w:szCs w:val="20"/>
        </w:rPr>
      </w:pPr>
    </w:p>
    <w:p w:rsidR="00EF4B60" w:rsidRPr="00EC29C6" w:rsidRDefault="00EF4B60" w:rsidP="00F51C52">
      <w:pPr>
        <w:pStyle w:val="Style23"/>
        <w:widowControl/>
        <w:pBdr>
          <w:top w:val="single" w:sz="6" w:space="1" w:color="auto"/>
        </w:pBdr>
        <w:spacing w:before="158"/>
        <w:ind w:left="5064"/>
        <w:jc w:val="center"/>
        <w:rPr>
          <w:rStyle w:val="FontStyle109"/>
          <w:rFonts w:ascii="Times New Roman" w:hAnsi="Times New Roman" w:cs="Times New Roman"/>
          <w:sz w:val="20"/>
          <w:szCs w:val="20"/>
        </w:rPr>
      </w:pPr>
      <w:r w:rsidRPr="00EC29C6">
        <w:rPr>
          <w:rStyle w:val="FontStyle109"/>
          <w:rFonts w:ascii="Times New Roman" w:hAnsi="Times New Roman" w:cs="Times New Roman"/>
          <w:sz w:val="20"/>
          <w:szCs w:val="20"/>
        </w:rPr>
        <w:t>DIRECTOR</w:t>
      </w:r>
    </w:p>
    <w:p w:rsidR="00EF4B60" w:rsidRPr="00EC29C6" w:rsidRDefault="00EF4B60" w:rsidP="00F51C52">
      <w:pPr>
        <w:pStyle w:val="Style23"/>
        <w:widowControl/>
        <w:spacing w:before="158"/>
        <w:ind w:left="5064"/>
        <w:jc w:val="both"/>
        <w:rPr>
          <w:rStyle w:val="FontStyle109"/>
          <w:rFonts w:ascii="Times New Roman" w:hAnsi="Times New Roman" w:cs="Times New Roman"/>
          <w:sz w:val="20"/>
          <w:szCs w:val="20"/>
        </w:rPr>
      </w:pPr>
    </w:p>
    <w:p w:rsidR="00EF4B60" w:rsidRPr="00EC29C6" w:rsidRDefault="00EF4B60" w:rsidP="00F51C52">
      <w:pPr>
        <w:pStyle w:val="Style23"/>
        <w:widowControl/>
        <w:pBdr>
          <w:top w:val="single" w:sz="6" w:space="1" w:color="auto"/>
        </w:pBdr>
        <w:spacing w:before="158"/>
        <w:ind w:left="5064"/>
        <w:jc w:val="center"/>
        <w:rPr>
          <w:rStyle w:val="FontStyle109"/>
          <w:rFonts w:ascii="Times New Roman" w:hAnsi="Times New Roman" w:cs="Times New Roman"/>
          <w:sz w:val="20"/>
          <w:szCs w:val="20"/>
        </w:rPr>
      </w:pPr>
      <w:r w:rsidRPr="00EC29C6">
        <w:rPr>
          <w:rStyle w:val="FontStyle109"/>
          <w:rFonts w:ascii="Times New Roman" w:hAnsi="Times New Roman" w:cs="Times New Roman"/>
          <w:sz w:val="20"/>
          <w:szCs w:val="20"/>
        </w:rPr>
        <w:t>DIRECTOR</w:t>
      </w:r>
    </w:p>
    <w:p w:rsidR="00EF4B60" w:rsidRPr="00EC29C6" w:rsidRDefault="00EF4B60" w:rsidP="00F51C52">
      <w:pPr>
        <w:pStyle w:val="Style10"/>
        <w:widowControl/>
        <w:spacing w:before="58" w:line="240" w:lineRule="auto"/>
        <w:ind w:left="7934"/>
        <w:jc w:val="both"/>
        <w:rPr>
          <w:rStyle w:val="FontStyle92"/>
        </w:rPr>
      </w:pPr>
      <w:r w:rsidRPr="00EC29C6">
        <w:rPr>
          <w:rStyle w:val="FontStyle92"/>
        </w:rPr>
        <w:t>Página 3 de 3</w:t>
      </w:r>
    </w:p>
    <w:p w:rsidR="00EF4B60" w:rsidRPr="00EC29C6" w:rsidRDefault="00EF4B60" w:rsidP="00F51C52">
      <w:pPr>
        <w:pStyle w:val="Style79"/>
        <w:widowControl/>
        <w:jc w:val="center"/>
        <w:rPr>
          <w:sz w:val="20"/>
          <w:szCs w:val="20"/>
        </w:rPr>
        <w:sectPr w:rsidR="00EF4B60" w:rsidRPr="00EC29C6" w:rsidSect="00915E8A">
          <w:headerReference w:type="default" r:id="rId20"/>
          <w:footnotePr>
            <w:numRestart w:val="eachSect"/>
          </w:footnotePr>
          <w:pgSz w:w="12242" w:h="15842" w:code="1"/>
          <w:pgMar w:top="1440" w:right="1440" w:bottom="1440" w:left="1440" w:header="720" w:footer="720" w:gutter="0"/>
          <w:pgNumType w:fmt="numberInDash"/>
          <w:cols w:space="60"/>
          <w:noEndnote/>
        </w:sectPr>
      </w:pPr>
    </w:p>
    <w:p w:rsidR="00EF4B60" w:rsidRPr="003E2931" w:rsidRDefault="00EF4B60" w:rsidP="00F51C52">
      <w:pPr>
        <w:pStyle w:val="Style79"/>
        <w:widowControl/>
        <w:jc w:val="center"/>
        <w:rPr>
          <w:rStyle w:val="FontStyle101"/>
          <w:sz w:val="16"/>
          <w:szCs w:val="16"/>
        </w:rPr>
      </w:pPr>
    </w:p>
    <w:p w:rsidR="00EF4B60" w:rsidRDefault="00EF4B60" w:rsidP="00F51C52">
      <w:pPr>
        <w:pStyle w:val="Style79"/>
        <w:widowControl/>
        <w:spacing w:line="653" w:lineRule="exact"/>
        <w:jc w:val="both"/>
        <w:rPr>
          <w:rStyle w:val="FontStyle101"/>
        </w:rPr>
      </w:pPr>
    </w:p>
    <w:p w:rsidR="00EF4B60" w:rsidRDefault="00EF4B60" w:rsidP="00F51C52">
      <w:pPr>
        <w:pStyle w:val="Style79"/>
        <w:widowControl/>
        <w:spacing w:line="653" w:lineRule="exact"/>
        <w:jc w:val="both"/>
        <w:rPr>
          <w:rStyle w:val="FontStyle101"/>
        </w:rPr>
      </w:pPr>
    </w:p>
    <w:p w:rsidR="00EF4B60" w:rsidRDefault="00EF4B60" w:rsidP="00F51C52">
      <w:pPr>
        <w:pStyle w:val="Style79"/>
        <w:widowControl/>
        <w:spacing w:line="653" w:lineRule="exact"/>
        <w:jc w:val="both"/>
        <w:rPr>
          <w:rStyle w:val="FontStyle101"/>
        </w:rPr>
      </w:pPr>
    </w:p>
    <w:p w:rsidR="00EF4B60" w:rsidRDefault="00EF4B60" w:rsidP="00F51C52">
      <w:pPr>
        <w:pStyle w:val="Style79"/>
        <w:widowControl/>
        <w:spacing w:line="653" w:lineRule="exact"/>
        <w:jc w:val="both"/>
        <w:rPr>
          <w:rStyle w:val="FontStyle101"/>
        </w:rPr>
      </w:pPr>
    </w:p>
    <w:p w:rsidR="00EF4B60" w:rsidRDefault="00EF4B60" w:rsidP="00F51C52">
      <w:pPr>
        <w:pStyle w:val="Style79"/>
        <w:widowControl/>
        <w:spacing w:line="653" w:lineRule="exact"/>
        <w:jc w:val="both"/>
        <w:rPr>
          <w:rStyle w:val="FontStyle101"/>
        </w:rPr>
      </w:pPr>
    </w:p>
    <w:p w:rsidR="00EF4B60" w:rsidRDefault="00EF4B60" w:rsidP="00F51C52">
      <w:pPr>
        <w:pStyle w:val="Style79"/>
        <w:widowControl/>
        <w:spacing w:line="653" w:lineRule="exact"/>
        <w:jc w:val="both"/>
        <w:rPr>
          <w:rStyle w:val="FontStyle101"/>
        </w:rPr>
      </w:pPr>
    </w:p>
    <w:p w:rsidR="00EF4B60" w:rsidRDefault="00EF4B60" w:rsidP="00F51C52">
      <w:pPr>
        <w:pStyle w:val="Style79"/>
        <w:widowControl/>
        <w:spacing w:line="653" w:lineRule="exact"/>
        <w:jc w:val="both"/>
        <w:rPr>
          <w:rStyle w:val="FontStyle101"/>
        </w:rPr>
      </w:pPr>
    </w:p>
    <w:p w:rsidR="00EF4B60" w:rsidRDefault="00EF4B60" w:rsidP="00F51C52">
      <w:pPr>
        <w:pStyle w:val="Style79"/>
        <w:widowControl/>
        <w:spacing w:line="653" w:lineRule="exact"/>
        <w:jc w:val="center"/>
        <w:rPr>
          <w:rStyle w:val="FontStyle101"/>
        </w:rPr>
      </w:pPr>
    </w:p>
    <w:p w:rsidR="00EF4B60" w:rsidRPr="001735F9" w:rsidRDefault="00EF4B60" w:rsidP="00F51C52">
      <w:pPr>
        <w:pStyle w:val="Style79"/>
        <w:widowControl/>
        <w:spacing w:line="653" w:lineRule="exact"/>
        <w:jc w:val="center"/>
        <w:rPr>
          <w:rStyle w:val="FontStyle101"/>
          <w:spacing w:val="-40"/>
        </w:rPr>
      </w:pPr>
      <w:r>
        <w:rPr>
          <w:rStyle w:val="FontStyle101"/>
        </w:rPr>
        <w:t xml:space="preserve">Apéndice </w:t>
      </w:r>
      <w:r>
        <w:rPr>
          <w:rStyle w:val="FontStyle101"/>
          <w:spacing w:val="-40"/>
        </w:rPr>
        <w:t>“G”</w:t>
      </w:r>
    </w:p>
    <w:p w:rsidR="00EF4B60" w:rsidRPr="001735F9" w:rsidRDefault="00EF4B60" w:rsidP="00F51C52">
      <w:pPr>
        <w:pStyle w:val="Style69"/>
        <w:widowControl/>
        <w:spacing w:line="326" w:lineRule="exact"/>
        <w:jc w:val="both"/>
        <w:rPr>
          <w:rStyle w:val="FontStyle119"/>
          <w:position w:val="-8"/>
        </w:rPr>
      </w:pPr>
    </w:p>
    <w:p w:rsidR="00EF4B60" w:rsidRPr="001735F9" w:rsidRDefault="00EF4B60" w:rsidP="00F51C52">
      <w:pPr>
        <w:pStyle w:val="Style69"/>
        <w:widowControl/>
        <w:jc w:val="both"/>
        <w:rPr>
          <w:rStyle w:val="FontStyle89"/>
          <w:spacing w:val="40"/>
          <w:position w:val="-8"/>
        </w:rPr>
      </w:pPr>
      <w:r>
        <w:br w:type="page"/>
      </w:r>
      <w:r>
        <w:rPr>
          <w:rStyle w:val="FontStyle119"/>
          <w:position w:val="-8"/>
        </w:rPr>
        <w:lastRenderedPageBreak/>
        <w:t xml:space="preserve">RUETER * SCARGALL * BENNETT </w:t>
      </w:r>
      <w:r>
        <w:rPr>
          <w:rStyle w:val="FontStyle89"/>
          <w:spacing w:val="40"/>
          <w:position w:val="-8"/>
        </w:rPr>
        <w:t>LLP</w:t>
      </w:r>
    </w:p>
    <w:p w:rsidR="00EF4B60" w:rsidRPr="001735F9" w:rsidRDefault="00EF4B60" w:rsidP="00F51C52">
      <w:pPr>
        <w:pStyle w:val="Style77"/>
        <w:widowControl/>
        <w:spacing w:before="58"/>
        <w:rPr>
          <w:rStyle w:val="FontStyle120"/>
          <w:rFonts w:ascii="Times New Roman" w:hAnsi="Times New Roman" w:cs="Times New Roman"/>
        </w:rPr>
      </w:pPr>
      <w:r>
        <w:rPr>
          <w:rStyle w:val="FontStyle120"/>
          <w:rFonts w:ascii="Times New Roman" w:hAnsi="Times New Roman"/>
        </w:rPr>
        <w:t>ABOGADOS</w:t>
      </w:r>
    </w:p>
    <w:p w:rsidR="00EF4B60" w:rsidRPr="001735F9" w:rsidRDefault="00EF4B60" w:rsidP="00F51C52">
      <w:pPr>
        <w:pStyle w:val="Style36"/>
        <w:widowControl/>
        <w:spacing w:line="240" w:lineRule="exact"/>
        <w:rPr>
          <w:sz w:val="20"/>
          <w:szCs w:val="20"/>
        </w:rPr>
      </w:pPr>
    </w:p>
    <w:tbl>
      <w:tblPr>
        <w:tblStyle w:val="TableGrid"/>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6487"/>
        <w:gridCol w:w="2552"/>
      </w:tblGrid>
      <w:tr w:rsidR="00EC29C6" w:rsidTr="00EC29C6">
        <w:tc>
          <w:tcPr>
            <w:tcW w:w="6487" w:type="dxa"/>
          </w:tcPr>
          <w:p w:rsidR="00EC29C6" w:rsidRPr="008D7DDC" w:rsidRDefault="00EC29C6" w:rsidP="00F51C52">
            <w:pPr>
              <w:pStyle w:val="Style36"/>
              <w:widowControl/>
              <w:spacing w:line="240" w:lineRule="auto"/>
              <w:rPr>
                <w:rStyle w:val="FontStyle121"/>
                <w:rFonts w:ascii="Times New Roman" w:hAnsi="Times New Roman" w:cs="Times New Roman"/>
                <w:sz w:val="16"/>
                <w:szCs w:val="16"/>
                <w:lang w:val="fr-CA"/>
              </w:rPr>
            </w:pPr>
            <w:r w:rsidRPr="008D7DDC">
              <w:rPr>
                <w:rStyle w:val="FontStyle121"/>
                <w:rFonts w:ascii="Times New Roman" w:hAnsi="Times New Roman"/>
                <w:sz w:val="16"/>
                <w:lang w:val="fr-CA"/>
              </w:rPr>
              <w:t xml:space="preserve">155 University Avenue </w:t>
            </w:r>
          </w:p>
          <w:p w:rsidR="00EC29C6" w:rsidRPr="008D7DDC" w:rsidRDefault="00EC29C6" w:rsidP="00F51C52">
            <w:pPr>
              <w:pStyle w:val="Style36"/>
              <w:widowControl/>
              <w:spacing w:line="240" w:lineRule="auto"/>
              <w:rPr>
                <w:rStyle w:val="FontStyle121"/>
                <w:rFonts w:ascii="Times New Roman" w:hAnsi="Times New Roman" w:cs="Times New Roman"/>
                <w:sz w:val="16"/>
                <w:szCs w:val="16"/>
                <w:lang w:val="fr-CA"/>
              </w:rPr>
            </w:pPr>
            <w:r w:rsidRPr="008D7DDC">
              <w:rPr>
                <w:rStyle w:val="FontStyle121"/>
                <w:rFonts w:ascii="Times New Roman" w:hAnsi="Times New Roman"/>
                <w:sz w:val="16"/>
                <w:lang w:val="fr-CA"/>
              </w:rPr>
              <w:t xml:space="preserve">Suite 600 </w:t>
            </w:r>
          </w:p>
          <w:p w:rsidR="00EC29C6" w:rsidRPr="008D7DDC" w:rsidRDefault="00EC29C6" w:rsidP="00F51C52">
            <w:pPr>
              <w:pStyle w:val="Style36"/>
              <w:widowControl/>
              <w:spacing w:line="240" w:lineRule="auto"/>
              <w:rPr>
                <w:rStyle w:val="FontStyle121"/>
                <w:rFonts w:ascii="Times New Roman" w:hAnsi="Times New Roman" w:cs="Times New Roman"/>
                <w:sz w:val="16"/>
                <w:szCs w:val="16"/>
                <w:lang w:val="fr-CA"/>
              </w:rPr>
            </w:pPr>
            <w:r w:rsidRPr="008D7DDC">
              <w:rPr>
                <w:rStyle w:val="FontStyle121"/>
                <w:rFonts w:ascii="Times New Roman" w:hAnsi="Times New Roman"/>
                <w:sz w:val="16"/>
                <w:lang w:val="fr-CA"/>
              </w:rPr>
              <w:t xml:space="preserve">Toronto. Ontario </w:t>
            </w:r>
          </w:p>
          <w:p w:rsidR="00EC29C6" w:rsidRPr="008D7DDC" w:rsidRDefault="00EC29C6" w:rsidP="00F51C52">
            <w:pPr>
              <w:pStyle w:val="Style36"/>
              <w:widowControl/>
              <w:spacing w:line="240" w:lineRule="auto"/>
              <w:rPr>
                <w:rStyle w:val="FontStyle121"/>
                <w:rFonts w:ascii="Times New Roman" w:hAnsi="Times New Roman" w:cs="Times New Roman"/>
                <w:sz w:val="16"/>
                <w:szCs w:val="16"/>
                <w:lang w:val="fr-CA"/>
              </w:rPr>
            </w:pPr>
            <w:r w:rsidRPr="008D7DDC">
              <w:rPr>
                <w:rStyle w:val="FontStyle121"/>
                <w:rFonts w:ascii="Times New Roman" w:hAnsi="Times New Roman"/>
                <w:sz w:val="16"/>
                <w:lang w:val="fr-CA"/>
              </w:rPr>
              <w:t xml:space="preserve">M5H 3B7 </w:t>
            </w:r>
          </w:p>
          <w:p w:rsidR="00EC29C6" w:rsidRPr="008D7DDC" w:rsidRDefault="00EC29C6" w:rsidP="00F51C52">
            <w:pPr>
              <w:pStyle w:val="Style36"/>
              <w:widowControl/>
              <w:spacing w:line="240" w:lineRule="auto"/>
              <w:rPr>
                <w:rStyle w:val="FontStyle121"/>
                <w:rFonts w:ascii="Times New Roman" w:hAnsi="Times New Roman" w:cs="Times New Roman"/>
                <w:sz w:val="16"/>
                <w:szCs w:val="16"/>
                <w:lang w:val="fr-CA"/>
              </w:rPr>
            </w:pPr>
            <w:r w:rsidRPr="008D7DDC">
              <w:rPr>
                <w:rStyle w:val="FontStyle121"/>
                <w:rFonts w:ascii="Times New Roman" w:hAnsi="Times New Roman"/>
                <w:sz w:val="16"/>
                <w:lang w:val="fr-CA"/>
              </w:rPr>
              <w:t xml:space="preserve">t 416 869-9090 </w:t>
            </w:r>
          </w:p>
          <w:p w:rsidR="00EC29C6" w:rsidRDefault="00EC29C6" w:rsidP="00F51C52">
            <w:pPr>
              <w:pStyle w:val="Style36"/>
              <w:widowControl/>
              <w:spacing w:line="240" w:lineRule="auto"/>
              <w:rPr>
                <w:rStyle w:val="FontStyle121"/>
                <w:rFonts w:ascii="Times New Roman" w:hAnsi="Times New Roman" w:cs="Times New Roman"/>
                <w:sz w:val="16"/>
                <w:szCs w:val="16"/>
              </w:rPr>
            </w:pPr>
            <w:r>
              <w:rPr>
                <w:rStyle w:val="FontStyle121"/>
                <w:rFonts w:ascii="Times New Roman" w:hAnsi="Times New Roman"/>
                <w:sz w:val="16"/>
              </w:rPr>
              <w:t>f 416 869-3411</w:t>
            </w:r>
          </w:p>
          <w:p w:rsidR="00EC29C6" w:rsidRDefault="00EC29C6" w:rsidP="00F51C52">
            <w:pPr>
              <w:pStyle w:val="Style36"/>
              <w:widowControl/>
              <w:spacing w:line="240" w:lineRule="auto"/>
              <w:rPr>
                <w:rStyle w:val="FontStyle123"/>
                <w:rFonts w:ascii="Times New Roman" w:hAnsi="Times New Roman" w:cs="Times New Roman"/>
              </w:rPr>
            </w:pPr>
            <w:hyperlink r:id="rId21" w:history="1">
              <w:r>
                <w:rPr>
                  <w:rStyle w:val="Hyperlink"/>
                  <w:b/>
                  <w:spacing w:val="10"/>
                  <w:sz w:val="12"/>
                </w:rPr>
                <w:t>rslawyers</w:t>
              </w:r>
              <w:r>
                <w:rPr>
                  <w:rStyle w:val="Hyperlink"/>
                  <w:b/>
                  <w:sz w:val="10"/>
                </w:rPr>
                <w:t>.com</w:t>
              </w:r>
            </w:hyperlink>
          </w:p>
        </w:tc>
        <w:tc>
          <w:tcPr>
            <w:tcW w:w="2552" w:type="dxa"/>
          </w:tcPr>
          <w:p w:rsidR="00EC29C6" w:rsidRDefault="00EC29C6" w:rsidP="00F51C52">
            <w:pPr>
              <w:pStyle w:val="Style20"/>
              <w:widowControl/>
              <w:spacing w:line="173" w:lineRule="exact"/>
              <w:rPr>
                <w:rStyle w:val="FontStyle123"/>
                <w:rFonts w:ascii="Times New Roman" w:hAnsi="Times New Roman" w:cs="Times New Roman"/>
              </w:rPr>
            </w:pPr>
          </w:p>
          <w:p w:rsidR="00EC29C6" w:rsidRDefault="00EC29C6" w:rsidP="00F51C52">
            <w:pPr>
              <w:pStyle w:val="Style20"/>
              <w:widowControl/>
              <w:spacing w:line="173" w:lineRule="exact"/>
              <w:rPr>
                <w:rStyle w:val="FontStyle123"/>
                <w:rFonts w:ascii="Times New Roman" w:hAnsi="Times New Roman" w:cs="Times New Roman"/>
              </w:rPr>
            </w:pPr>
          </w:p>
          <w:p w:rsidR="00EC29C6" w:rsidRDefault="00EC29C6" w:rsidP="00F51C52">
            <w:pPr>
              <w:pStyle w:val="Style20"/>
              <w:widowControl/>
              <w:spacing w:line="173" w:lineRule="exact"/>
              <w:rPr>
                <w:rStyle w:val="FontStyle123"/>
                <w:rFonts w:ascii="Times New Roman" w:hAnsi="Times New Roman" w:cs="Times New Roman"/>
              </w:rPr>
            </w:pPr>
            <w:r>
              <w:rPr>
                <w:rStyle w:val="FontStyle123"/>
                <w:rFonts w:ascii="Times New Roman" w:hAnsi="Times New Roman"/>
              </w:rPr>
              <w:t xml:space="preserve">Randy Bennett </w:t>
            </w:r>
          </w:p>
          <w:p w:rsidR="00EC29C6" w:rsidRPr="001735F9" w:rsidRDefault="00EC29C6" w:rsidP="00F51C52">
            <w:pPr>
              <w:pStyle w:val="Style20"/>
              <w:widowControl/>
              <w:spacing w:line="173" w:lineRule="exact"/>
              <w:rPr>
                <w:rStyle w:val="FontStyle124"/>
                <w:rFonts w:ascii="Times New Roman" w:hAnsi="Times New Roman" w:cs="Times New Roman"/>
              </w:rPr>
            </w:pPr>
            <w:r>
              <w:rPr>
                <w:rStyle w:val="FontStyle124"/>
                <w:rFonts w:ascii="Times New Roman" w:hAnsi="Times New Roman"/>
              </w:rPr>
              <w:t xml:space="preserve">Línea directa: </w:t>
            </w:r>
            <w:r>
              <w:rPr>
                <w:rStyle w:val="FontStyle123"/>
                <w:rFonts w:ascii="Times New Roman" w:hAnsi="Times New Roman"/>
              </w:rPr>
              <w:t xml:space="preserve">416 869-3538 </w:t>
            </w:r>
            <w:hyperlink r:id="rId22" w:history="1">
              <w:r>
                <w:rPr>
                  <w:rStyle w:val="Hyperlink"/>
                  <w:sz w:val="14"/>
                </w:rPr>
                <w:t>randy.bennett@rslawyers.com</w:t>
              </w:r>
            </w:hyperlink>
          </w:p>
          <w:p w:rsidR="00EC29C6" w:rsidRDefault="00EC29C6" w:rsidP="00F51C52">
            <w:pPr>
              <w:pStyle w:val="Style20"/>
              <w:widowControl/>
              <w:spacing w:line="173" w:lineRule="exact"/>
              <w:rPr>
                <w:rStyle w:val="FontStyle123"/>
                <w:rFonts w:ascii="Times New Roman" w:hAnsi="Times New Roman" w:cs="Times New Roman"/>
              </w:rPr>
            </w:pPr>
          </w:p>
        </w:tc>
      </w:tr>
    </w:tbl>
    <w:p w:rsidR="00EC29C6" w:rsidRDefault="00EC29C6" w:rsidP="00F51C52">
      <w:pPr>
        <w:pStyle w:val="Style49"/>
        <w:widowControl/>
        <w:tabs>
          <w:tab w:val="left" w:pos="1234"/>
        </w:tabs>
        <w:spacing w:before="72"/>
        <w:ind w:left="720"/>
        <w:rPr>
          <w:rStyle w:val="FontStyle83"/>
          <w:iCs/>
        </w:rPr>
      </w:pPr>
    </w:p>
    <w:p w:rsidR="00EC29C6" w:rsidRDefault="00EC29C6" w:rsidP="00F51C52">
      <w:pPr>
        <w:pStyle w:val="Style49"/>
        <w:widowControl/>
        <w:tabs>
          <w:tab w:val="left" w:pos="1234"/>
        </w:tabs>
        <w:spacing w:before="72"/>
        <w:ind w:left="720"/>
        <w:rPr>
          <w:rStyle w:val="FontStyle83"/>
          <w:iCs/>
        </w:rPr>
      </w:pPr>
    </w:p>
    <w:p w:rsidR="00EF4B60" w:rsidRPr="0039424A" w:rsidRDefault="00EF4B60" w:rsidP="00F51C52">
      <w:pPr>
        <w:pStyle w:val="Style49"/>
        <w:widowControl/>
        <w:tabs>
          <w:tab w:val="left" w:pos="1234"/>
        </w:tabs>
        <w:spacing w:before="72"/>
        <w:ind w:left="720"/>
        <w:rPr>
          <w:rStyle w:val="FontStyle83"/>
        </w:rPr>
      </w:pPr>
      <w:r w:rsidRPr="00BF4DC9">
        <w:rPr>
          <w:rStyle w:val="FontStyle83"/>
          <w:iCs/>
        </w:rPr>
        <w:t>A TRAVÉS DE</w:t>
      </w:r>
      <w:r w:rsidR="00585C61" w:rsidRPr="00BF4DC9">
        <w:rPr>
          <w:rStyle w:val="FontStyle83"/>
          <w:i/>
          <w:iCs/>
        </w:rPr>
        <w:t xml:space="preserve"> </w:t>
      </w:r>
      <w:r>
        <w:rPr>
          <w:rStyle w:val="FontStyle83"/>
        </w:rPr>
        <w:t>CORREO ELECTRÓNICO</w:t>
      </w:r>
    </w:p>
    <w:p w:rsidR="00EF4B60" w:rsidRPr="0039424A" w:rsidRDefault="00EF4B60" w:rsidP="00F51C52">
      <w:pPr>
        <w:pStyle w:val="Style7"/>
        <w:widowControl/>
        <w:spacing w:line="240" w:lineRule="exact"/>
        <w:ind w:left="720"/>
        <w:rPr>
          <w:sz w:val="20"/>
          <w:szCs w:val="20"/>
        </w:rPr>
      </w:pPr>
    </w:p>
    <w:p w:rsidR="00EF4B60" w:rsidRPr="001735F9" w:rsidRDefault="00EF4B60" w:rsidP="00F51C52">
      <w:pPr>
        <w:pStyle w:val="Style7"/>
        <w:widowControl/>
        <w:spacing w:before="72"/>
        <w:ind w:left="720"/>
        <w:rPr>
          <w:rStyle w:val="FontStyle84"/>
        </w:rPr>
      </w:pPr>
      <w:r>
        <w:rPr>
          <w:rStyle w:val="FontStyle84"/>
        </w:rPr>
        <w:t>1 de noviembre de 2010</w:t>
      </w:r>
    </w:p>
    <w:p w:rsidR="00EF4B60" w:rsidRPr="001735F9" w:rsidRDefault="00EF4B60" w:rsidP="00F51C52">
      <w:pPr>
        <w:pStyle w:val="Style7"/>
        <w:widowControl/>
        <w:spacing w:line="240" w:lineRule="exact"/>
        <w:ind w:left="720"/>
        <w:rPr>
          <w:sz w:val="20"/>
          <w:szCs w:val="20"/>
        </w:rPr>
      </w:pPr>
    </w:p>
    <w:p w:rsidR="00EF4B60" w:rsidRPr="008D7DDC" w:rsidRDefault="00EF4B60" w:rsidP="00F51C52">
      <w:pPr>
        <w:pStyle w:val="Style7"/>
        <w:widowControl/>
        <w:spacing w:before="24" w:line="259" w:lineRule="exact"/>
        <w:ind w:left="720"/>
        <w:rPr>
          <w:rStyle w:val="FontStyle84"/>
          <w:lang w:val="en-US"/>
        </w:rPr>
      </w:pPr>
      <w:r w:rsidRPr="008D7DDC">
        <w:rPr>
          <w:rStyle w:val="FontStyle84"/>
          <w:lang w:val="en-US"/>
        </w:rPr>
        <w:t xml:space="preserve">Katherine McEachern </w:t>
      </w:r>
    </w:p>
    <w:p w:rsidR="00EF4B60" w:rsidRPr="008D7DDC" w:rsidRDefault="00EF4B60" w:rsidP="00F51C52">
      <w:pPr>
        <w:pStyle w:val="Style7"/>
        <w:widowControl/>
        <w:spacing w:before="24" w:line="259" w:lineRule="exact"/>
        <w:ind w:left="720"/>
        <w:rPr>
          <w:rStyle w:val="FontStyle84"/>
          <w:lang w:val="en-US"/>
        </w:rPr>
      </w:pPr>
      <w:r w:rsidRPr="008D7DDC">
        <w:rPr>
          <w:rStyle w:val="FontStyle84"/>
          <w:lang w:val="en-US"/>
        </w:rPr>
        <w:t xml:space="preserve">Blake, Cassels &amp; Graydon LLP </w:t>
      </w:r>
    </w:p>
    <w:p w:rsidR="00EF4B60" w:rsidRPr="008D7DDC" w:rsidRDefault="00EF4B60" w:rsidP="00F51C52">
      <w:pPr>
        <w:pStyle w:val="Style7"/>
        <w:widowControl/>
        <w:spacing w:before="24" w:line="259" w:lineRule="exact"/>
        <w:ind w:left="720"/>
        <w:rPr>
          <w:rStyle w:val="FontStyle84"/>
          <w:lang w:val="en-US"/>
        </w:rPr>
      </w:pPr>
      <w:r w:rsidRPr="008D7DDC">
        <w:rPr>
          <w:rStyle w:val="FontStyle84"/>
          <w:lang w:val="en-US"/>
        </w:rPr>
        <w:t xml:space="preserve">Abogados </w:t>
      </w:r>
    </w:p>
    <w:p w:rsidR="00EF4B60" w:rsidRPr="008D7DDC" w:rsidRDefault="00EF4B60" w:rsidP="00F51C52">
      <w:pPr>
        <w:pStyle w:val="Style7"/>
        <w:widowControl/>
        <w:spacing w:before="24" w:line="259" w:lineRule="exact"/>
        <w:ind w:left="720"/>
        <w:rPr>
          <w:rStyle w:val="FontStyle84"/>
          <w:lang w:val="en-US"/>
        </w:rPr>
      </w:pPr>
      <w:r w:rsidRPr="008D7DDC">
        <w:rPr>
          <w:rStyle w:val="FontStyle84"/>
          <w:lang w:val="en-US"/>
        </w:rPr>
        <w:t>199 Bay Street</w:t>
      </w:r>
    </w:p>
    <w:p w:rsidR="00EF4B60" w:rsidRPr="008D7DDC" w:rsidRDefault="00EF4B60" w:rsidP="00F51C52">
      <w:pPr>
        <w:pStyle w:val="Style7"/>
        <w:widowControl/>
        <w:spacing w:before="5" w:line="259" w:lineRule="exact"/>
        <w:ind w:left="720"/>
        <w:rPr>
          <w:rStyle w:val="FontStyle84"/>
          <w:lang w:val="en-US"/>
        </w:rPr>
      </w:pPr>
      <w:r w:rsidRPr="008D7DDC">
        <w:rPr>
          <w:rStyle w:val="FontStyle84"/>
          <w:lang w:val="en-US"/>
        </w:rPr>
        <w:t xml:space="preserve">Suite 2800, Commerce Court West </w:t>
      </w:r>
    </w:p>
    <w:p w:rsidR="00EF4B60" w:rsidRPr="001735F9" w:rsidRDefault="00EF4B60" w:rsidP="00F51C52">
      <w:pPr>
        <w:pStyle w:val="Style7"/>
        <w:widowControl/>
        <w:spacing w:before="5" w:line="259" w:lineRule="exact"/>
        <w:ind w:left="720"/>
        <w:rPr>
          <w:rStyle w:val="FontStyle84"/>
        </w:rPr>
      </w:pPr>
      <w:r>
        <w:rPr>
          <w:rStyle w:val="FontStyle84"/>
        </w:rPr>
        <w:t>Toronto, Ontario M5L 1A9</w:t>
      </w:r>
    </w:p>
    <w:p w:rsidR="00EF4B60" w:rsidRPr="001735F9" w:rsidRDefault="00EF4B60" w:rsidP="00F51C52">
      <w:pPr>
        <w:pStyle w:val="Style7"/>
        <w:widowControl/>
        <w:spacing w:line="240" w:lineRule="exact"/>
        <w:ind w:left="720"/>
        <w:rPr>
          <w:sz w:val="20"/>
          <w:szCs w:val="20"/>
        </w:rPr>
      </w:pPr>
    </w:p>
    <w:p w:rsidR="00EF4B60" w:rsidRPr="001735F9" w:rsidRDefault="00EF4B60" w:rsidP="00F51C52">
      <w:pPr>
        <w:pStyle w:val="Style7"/>
        <w:widowControl/>
        <w:spacing w:before="34"/>
        <w:ind w:left="720"/>
        <w:rPr>
          <w:rStyle w:val="FontStyle84"/>
        </w:rPr>
      </w:pPr>
      <w:r>
        <w:rPr>
          <w:rStyle w:val="FontStyle84"/>
        </w:rPr>
        <w:t>Estimada Sra. McEachern:</w:t>
      </w:r>
    </w:p>
    <w:p w:rsidR="00EF4B60" w:rsidRPr="001735F9" w:rsidRDefault="00EF4B60" w:rsidP="00F51C52">
      <w:pPr>
        <w:pStyle w:val="Style2"/>
        <w:widowControl/>
        <w:spacing w:line="240" w:lineRule="exact"/>
        <w:ind w:left="720"/>
        <w:jc w:val="left"/>
        <w:rPr>
          <w:sz w:val="20"/>
          <w:szCs w:val="20"/>
        </w:rPr>
      </w:pPr>
    </w:p>
    <w:p w:rsidR="00EF4B60" w:rsidRPr="001735F9" w:rsidRDefault="00EF4B60" w:rsidP="00F364F3">
      <w:pPr>
        <w:pStyle w:val="Style2"/>
        <w:widowControl/>
        <w:tabs>
          <w:tab w:val="left" w:pos="2694"/>
        </w:tabs>
        <w:spacing w:before="38" w:line="240" w:lineRule="auto"/>
        <w:ind w:left="720"/>
        <w:jc w:val="left"/>
        <w:rPr>
          <w:rStyle w:val="FontStyle83"/>
        </w:rPr>
      </w:pPr>
      <w:r>
        <w:rPr>
          <w:rStyle w:val="FontStyle83"/>
        </w:rPr>
        <w:t xml:space="preserve">Con referencia a:    </w:t>
      </w:r>
      <w:r>
        <w:rPr>
          <w:rStyle w:val="FontStyle83"/>
        </w:rPr>
        <w:tab/>
        <w:t>Universal Settlements International Inc. (“USI”)</w:t>
      </w:r>
    </w:p>
    <w:p w:rsidR="00EF4B60" w:rsidRPr="00BF4DC9" w:rsidRDefault="00EF4B60" w:rsidP="00F364F3">
      <w:pPr>
        <w:pStyle w:val="Style2"/>
        <w:widowControl/>
        <w:spacing w:before="10" w:line="240" w:lineRule="auto"/>
        <w:ind w:left="2694"/>
        <w:jc w:val="left"/>
        <w:rPr>
          <w:rStyle w:val="FontStyle83"/>
        </w:rPr>
      </w:pPr>
      <w:r w:rsidRPr="00BF4DC9">
        <w:rPr>
          <w:rStyle w:val="FontStyle83"/>
        </w:rPr>
        <w:t>Carta de Pat Runstedtler con fecha 8 de julio de 2010 (recibida el 18 de julio de 2010)</w:t>
      </w:r>
    </w:p>
    <w:p w:rsidR="00EF4B60" w:rsidRPr="001735F9" w:rsidRDefault="00EF4B60" w:rsidP="00F51C52">
      <w:pPr>
        <w:pStyle w:val="Style7"/>
        <w:widowControl/>
        <w:spacing w:line="240" w:lineRule="exact"/>
        <w:ind w:left="720"/>
        <w:rPr>
          <w:sz w:val="20"/>
          <w:szCs w:val="20"/>
        </w:rPr>
      </w:pPr>
    </w:p>
    <w:p w:rsidR="00EF4B60" w:rsidRPr="008C6FEE" w:rsidRDefault="00EF4B60" w:rsidP="00F51C52">
      <w:pPr>
        <w:widowControl/>
        <w:ind w:left="720"/>
        <w:rPr>
          <w:sz w:val="22"/>
        </w:rPr>
      </w:pPr>
      <w:r w:rsidRPr="008C6FEE">
        <w:rPr>
          <w:sz w:val="22"/>
        </w:rPr>
        <w:t>Le escribo en respuesta a su carta del 27 de agosto de 2010.</w:t>
      </w:r>
    </w:p>
    <w:p w:rsidR="00EF4B60" w:rsidRPr="001735F9" w:rsidRDefault="00EF4B60" w:rsidP="00F51C52">
      <w:pPr>
        <w:pStyle w:val="Style7"/>
        <w:widowControl/>
        <w:spacing w:line="240" w:lineRule="exact"/>
        <w:ind w:left="720"/>
        <w:rPr>
          <w:sz w:val="20"/>
          <w:szCs w:val="20"/>
        </w:rPr>
      </w:pPr>
    </w:p>
    <w:p w:rsidR="00EF4B60" w:rsidRPr="0039424A" w:rsidRDefault="00EF4B60" w:rsidP="00F51C52">
      <w:pPr>
        <w:widowControl/>
        <w:ind w:left="720"/>
        <w:rPr>
          <w:sz w:val="22"/>
          <w:szCs w:val="22"/>
        </w:rPr>
      </w:pPr>
      <w:r>
        <w:rPr>
          <w:sz w:val="22"/>
        </w:rPr>
        <w:t>Para ser claros, USI no tiene ninguna intención de comu</w:t>
      </w:r>
      <w:r w:rsidR="00F364F3">
        <w:rPr>
          <w:sz w:val="22"/>
        </w:rPr>
        <w:t>nicarse directamente con el Sr. </w:t>
      </w:r>
      <w:r>
        <w:rPr>
          <w:sz w:val="22"/>
        </w:rPr>
        <w:t>Runstedtler sobre los asuntos abordados. En este momento, USI no tiene ninguna documentación fiable, a pesar de las reiteradas solicitudes a éste para que la proporcionara, en la que se evidencie su estatus de acreedor.</w:t>
      </w:r>
    </w:p>
    <w:p w:rsidR="00EF4B60" w:rsidRPr="0039424A" w:rsidRDefault="00EF4B60" w:rsidP="00F51C52">
      <w:pPr>
        <w:widowControl/>
        <w:ind w:left="720"/>
        <w:rPr>
          <w:sz w:val="22"/>
          <w:szCs w:val="22"/>
        </w:rPr>
      </w:pPr>
    </w:p>
    <w:p w:rsidR="00EF4B60" w:rsidRPr="0039424A" w:rsidRDefault="00EF4B60" w:rsidP="00F51C52">
      <w:pPr>
        <w:widowControl/>
        <w:ind w:left="720"/>
        <w:rPr>
          <w:sz w:val="22"/>
          <w:szCs w:val="22"/>
        </w:rPr>
      </w:pPr>
      <w:r>
        <w:rPr>
          <w:sz w:val="22"/>
        </w:rPr>
        <w:t>Sin embargo, en la medida en que el Supervisor pueda desear informar sobre determinados asuntos al tribunal, le ofrecemos lo siguiente a modo de respuesta a los puntos expuestos en su carta.</w:t>
      </w:r>
    </w:p>
    <w:p w:rsidR="00EF4B60" w:rsidRDefault="00EF4B60" w:rsidP="00F51C52">
      <w:pPr>
        <w:widowControl/>
        <w:ind w:left="720"/>
        <w:rPr>
          <w:sz w:val="22"/>
          <w:szCs w:val="22"/>
        </w:rPr>
      </w:pPr>
    </w:p>
    <w:p w:rsidR="00EF4B60" w:rsidRDefault="00EF4B60" w:rsidP="00F51C52">
      <w:pPr>
        <w:widowControl/>
        <w:numPr>
          <w:ilvl w:val="0"/>
          <w:numId w:val="42"/>
        </w:numPr>
        <w:tabs>
          <w:tab w:val="clear" w:pos="360"/>
        </w:tabs>
        <w:ind w:left="720" w:firstLine="0"/>
        <w:rPr>
          <w:sz w:val="22"/>
          <w:szCs w:val="22"/>
        </w:rPr>
      </w:pPr>
      <w:r>
        <w:rPr>
          <w:sz w:val="22"/>
        </w:rPr>
        <w:t>Al Sr. Panos se le proporcionó un adelanto contra las comisiones, el cual puede haber sido registrado inicialmente como un préstamo a accionista, pero sólo hasta el momento en que el Sr. Panos lo ganara como ingresos. Eso habría sido en el año fiscal 2006. Sin embargo, como usted sabe, y como se informó al tribunal al principio del procedimiento según la CCAA, las acciones de la gerencia anterior han dejado los libros de USI en un estado poco fiable. Una vez que se haya restaurado dichos libros a una condición que el contador de la empresa considere satisfactoria, se le proporcionará a usted una copia de los asientos pertinentes, si usted deseara recibirlos.</w:t>
      </w:r>
    </w:p>
    <w:p w:rsidR="00EF4B60" w:rsidRDefault="00EF4B60" w:rsidP="00F51C52">
      <w:pPr>
        <w:widowControl/>
        <w:ind w:left="720"/>
        <w:rPr>
          <w:sz w:val="22"/>
          <w:szCs w:val="22"/>
        </w:rPr>
      </w:pPr>
    </w:p>
    <w:p w:rsidR="00EF4B60" w:rsidRDefault="00EF4B60" w:rsidP="00F51C52">
      <w:pPr>
        <w:widowControl/>
        <w:numPr>
          <w:ilvl w:val="0"/>
          <w:numId w:val="42"/>
        </w:numPr>
        <w:tabs>
          <w:tab w:val="clear" w:pos="360"/>
        </w:tabs>
        <w:ind w:left="720" w:firstLine="0"/>
        <w:rPr>
          <w:sz w:val="22"/>
          <w:szCs w:val="22"/>
        </w:rPr>
      </w:pPr>
      <w:r>
        <w:rPr>
          <w:sz w:val="22"/>
        </w:rPr>
        <w:lastRenderedPageBreak/>
        <w:t>La alegación de pago en efectivo por $300,000 se produjo antes del procedimiento según la CCAA en la acción Bifolchi y la solicitud del nombramiento de un Síndico. Además, se hizo referencia específicamente a ese procedimiento en la Declaración jurada inicial de Christopher Halas, emitida el 2 de diciembre de 2008, y se incluyó una copia de la Demanda como Elemento probatorio. El Sr. Halas estaba disponible para ser interrogado por cualquiera de las partes interesadas durante la tramitación del procedimiento. Además, la información estuvo en presencia de los acreedores cuando votaron abrumadoramente a favor de apoyar el Plan propuesto por USI. En opinión de USI, el asunto ha sido tratado de manera concluyente y no hay nada más que añadir.</w:t>
      </w:r>
    </w:p>
    <w:p w:rsidR="00EF4B60" w:rsidRDefault="00EF4B60" w:rsidP="00F51C52">
      <w:pPr>
        <w:widowControl/>
        <w:ind w:left="720"/>
        <w:rPr>
          <w:sz w:val="22"/>
          <w:szCs w:val="22"/>
        </w:rPr>
      </w:pPr>
    </w:p>
    <w:p w:rsidR="00EF4B60" w:rsidRPr="00273F1B" w:rsidRDefault="00EF4B60" w:rsidP="00F51C52">
      <w:pPr>
        <w:widowControl/>
        <w:numPr>
          <w:ilvl w:val="0"/>
          <w:numId w:val="42"/>
        </w:numPr>
        <w:tabs>
          <w:tab w:val="clear" w:pos="360"/>
        </w:tabs>
        <w:ind w:left="720" w:firstLine="0"/>
      </w:pPr>
      <w:r>
        <w:rPr>
          <w:sz w:val="22"/>
        </w:rPr>
        <w:t xml:space="preserve">También se hizo referencia a las pólizas mencionadas específicamente en su carta sobre este punto, y a la alegación de asignación a las partes vinculadas, en el litigio Bifolchi, concretamente en el párrafo 17 de la Demanda. </w:t>
      </w:r>
      <w:r w:rsidRPr="00273F1B">
        <w:rPr>
          <w:sz w:val="22"/>
        </w:rPr>
        <w:t>No hubo ninguna irregularidad con respecto a la asignación de dichas pólizas y se ha informado plenamente al tribunal y al Supervisor sobre dichas asignaciones.</w:t>
      </w:r>
    </w:p>
    <w:p w:rsidR="00EF4B60" w:rsidRDefault="00EF4B60" w:rsidP="00F51C52">
      <w:pPr>
        <w:widowControl/>
        <w:ind w:left="720"/>
        <w:rPr>
          <w:sz w:val="22"/>
          <w:szCs w:val="22"/>
        </w:rPr>
      </w:pPr>
    </w:p>
    <w:p w:rsidR="00EF4B60" w:rsidRDefault="00EF4B60" w:rsidP="00F51C52">
      <w:pPr>
        <w:widowControl/>
        <w:ind w:left="720"/>
        <w:rPr>
          <w:sz w:val="22"/>
          <w:szCs w:val="22"/>
        </w:rPr>
      </w:pPr>
    </w:p>
    <w:p w:rsidR="00EF4B60" w:rsidRDefault="00EF4B60" w:rsidP="00F51C52">
      <w:pPr>
        <w:widowControl/>
        <w:ind w:left="720"/>
        <w:rPr>
          <w:sz w:val="22"/>
          <w:szCs w:val="22"/>
        </w:rPr>
      </w:pPr>
      <w:r>
        <w:rPr>
          <w:sz w:val="22"/>
        </w:rPr>
        <w:t>Atentamente,</w:t>
      </w:r>
    </w:p>
    <w:p w:rsidR="00EF4B60" w:rsidRDefault="00EF4B60" w:rsidP="00F51C52">
      <w:pPr>
        <w:widowControl/>
        <w:ind w:left="720"/>
        <w:rPr>
          <w:sz w:val="22"/>
          <w:szCs w:val="22"/>
        </w:rPr>
      </w:pPr>
    </w:p>
    <w:p w:rsidR="00EF4B60" w:rsidRPr="0039424A" w:rsidRDefault="00EF4B60" w:rsidP="00F51C52">
      <w:pPr>
        <w:widowControl/>
        <w:ind w:left="720"/>
        <w:rPr>
          <w:sz w:val="22"/>
          <w:szCs w:val="22"/>
        </w:rPr>
      </w:pPr>
      <w:r>
        <w:rPr>
          <w:sz w:val="22"/>
        </w:rPr>
        <w:t>(</w:t>
      </w:r>
      <w:proofErr w:type="gramStart"/>
      <w:r>
        <w:rPr>
          <w:sz w:val="22"/>
        </w:rPr>
        <w:t>firma</w:t>
      </w:r>
      <w:proofErr w:type="gramEnd"/>
      <w:r>
        <w:rPr>
          <w:sz w:val="22"/>
        </w:rPr>
        <w:t xml:space="preserve"> ilegible)</w:t>
      </w:r>
    </w:p>
    <w:p w:rsidR="00EF4B60" w:rsidRDefault="00EF4B60" w:rsidP="00F51C52">
      <w:pPr>
        <w:widowControl/>
        <w:ind w:left="720"/>
        <w:rPr>
          <w:sz w:val="22"/>
          <w:szCs w:val="22"/>
        </w:rPr>
      </w:pPr>
      <w:r>
        <w:rPr>
          <w:sz w:val="22"/>
        </w:rPr>
        <w:t>RB/jl</w:t>
      </w:r>
    </w:p>
    <w:p w:rsidR="00EF4B60" w:rsidRDefault="00EF4B60" w:rsidP="00F51C52">
      <w:pPr>
        <w:widowControl/>
        <w:ind w:left="720"/>
        <w:rPr>
          <w:sz w:val="22"/>
          <w:szCs w:val="22"/>
        </w:rPr>
      </w:pPr>
    </w:p>
    <w:p w:rsidR="00EF4B60" w:rsidRDefault="00EF4B60" w:rsidP="00F51C52">
      <w:pPr>
        <w:widowControl/>
        <w:ind w:left="720"/>
        <w:rPr>
          <w:sz w:val="22"/>
          <w:szCs w:val="22"/>
        </w:rPr>
      </w:pPr>
      <w:proofErr w:type="gramStart"/>
      <w:r>
        <w:rPr>
          <w:sz w:val="22"/>
        </w:rPr>
        <w:t>cc</w:t>
      </w:r>
      <w:proofErr w:type="gramEnd"/>
      <w:r>
        <w:rPr>
          <w:sz w:val="22"/>
        </w:rPr>
        <w:t>.</w:t>
      </w:r>
      <w:r>
        <w:rPr>
          <w:sz w:val="22"/>
        </w:rPr>
        <w:tab/>
        <w:t xml:space="preserve">Brian Denega </w:t>
      </w:r>
    </w:p>
    <w:p w:rsidR="00EF4B60" w:rsidRDefault="00EF4B60" w:rsidP="00F51C52">
      <w:pPr>
        <w:widowControl/>
        <w:ind w:left="720"/>
        <w:rPr>
          <w:sz w:val="22"/>
          <w:szCs w:val="22"/>
        </w:rPr>
      </w:pPr>
      <w:r>
        <w:rPr>
          <w:sz w:val="22"/>
        </w:rPr>
        <w:tab/>
        <w:t xml:space="preserve">Rahn Dodick </w:t>
      </w:r>
    </w:p>
    <w:p w:rsidR="00EF4B60" w:rsidRDefault="00EF4B60" w:rsidP="00F51C52">
      <w:pPr>
        <w:widowControl/>
        <w:ind w:left="720"/>
        <w:rPr>
          <w:sz w:val="22"/>
          <w:szCs w:val="22"/>
        </w:rPr>
      </w:pPr>
      <w:r>
        <w:rPr>
          <w:sz w:val="22"/>
        </w:rPr>
        <w:tab/>
        <w:t xml:space="preserve">S. Grundy </w:t>
      </w:r>
    </w:p>
    <w:p w:rsidR="00EF4B60" w:rsidRPr="0039424A" w:rsidRDefault="00EF4B60" w:rsidP="00F51C52">
      <w:pPr>
        <w:widowControl/>
        <w:ind w:left="720"/>
        <w:rPr>
          <w:sz w:val="22"/>
          <w:szCs w:val="22"/>
        </w:rPr>
      </w:pPr>
      <w:r>
        <w:rPr>
          <w:sz w:val="22"/>
        </w:rPr>
        <w:tab/>
        <w:t>W. McNamara</w:t>
      </w:r>
    </w:p>
    <w:p w:rsidR="00EF4B60" w:rsidRDefault="00EF4B60" w:rsidP="00F51C52">
      <w:pPr>
        <w:widowControl/>
        <w:ind w:left="720"/>
        <w:rPr>
          <w:sz w:val="22"/>
          <w:szCs w:val="22"/>
        </w:rPr>
      </w:pPr>
    </w:p>
    <w:p w:rsidR="00EF4B60" w:rsidRDefault="00EF4B60" w:rsidP="00F51C52">
      <w:pPr>
        <w:widowControl/>
        <w:ind w:left="720"/>
        <w:rPr>
          <w:sz w:val="22"/>
          <w:szCs w:val="22"/>
        </w:rPr>
      </w:pPr>
    </w:p>
    <w:p w:rsidR="00EF4B60" w:rsidRDefault="00EF4B60" w:rsidP="00F51C52">
      <w:pPr>
        <w:widowControl/>
        <w:ind w:left="720"/>
        <w:rPr>
          <w:sz w:val="22"/>
          <w:szCs w:val="22"/>
        </w:rPr>
      </w:pPr>
    </w:p>
    <w:p w:rsidR="008C6FEE" w:rsidRDefault="008C6FEE" w:rsidP="00F51C52">
      <w:pPr>
        <w:widowControl/>
        <w:ind w:left="720"/>
        <w:rPr>
          <w:sz w:val="22"/>
          <w:szCs w:val="22"/>
        </w:rPr>
      </w:pPr>
    </w:p>
    <w:p w:rsidR="008C6FEE" w:rsidRDefault="008C6FEE" w:rsidP="00F51C52">
      <w:pPr>
        <w:widowControl/>
        <w:ind w:left="720"/>
        <w:rPr>
          <w:sz w:val="22"/>
          <w:szCs w:val="22"/>
        </w:rPr>
      </w:pPr>
    </w:p>
    <w:p w:rsidR="008C6FEE" w:rsidRDefault="008C6FEE" w:rsidP="00F51C52">
      <w:pPr>
        <w:widowControl/>
        <w:ind w:left="720"/>
        <w:rPr>
          <w:sz w:val="22"/>
          <w:szCs w:val="22"/>
        </w:rPr>
      </w:pPr>
    </w:p>
    <w:p w:rsidR="008C6FEE" w:rsidRDefault="008C6FEE" w:rsidP="00F51C52">
      <w:pPr>
        <w:widowControl/>
        <w:ind w:left="720"/>
        <w:rPr>
          <w:sz w:val="22"/>
          <w:szCs w:val="22"/>
        </w:rPr>
      </w:pPr>
    </w:p>
    <w:p w:rsidR="008C6FEE" w:rsidRDefault="008C6FEE" w:rsidP="00F51C52">
      <w:pPr>
        <w:widowControl/>
        <w:ind w:left="720"/>
        <w:rPr>
          <w:sz w:val="22"/>
          <w:szCs w:val="22"/>
        </w:rPr>
      </w:pPr>
    </w:p>
    <w:p w:rsidR="008C6FEE" w:rsidRDefault="008C6FEE" w:rsidP="00F51C52">
      <w:pPr>
        <w:widowControl/>
        <w:ind w:left="720"/>
        <w:rPr>
          <w:sz w:val="22"/>
          <w:szCs w:val="22"/>
        </w:rPr>
      </w:pPr>
    </w:p>
    <w:p w:rsidR="008C6FEE" w:rsidRDefault="008C6FEE" w:rsidP="00F51C52">
      <w:pPr>
        <w:widowControl/>
        <w:ind w:left="720"/>
        <w:rPr>
          <w:sz w:val="22"/>
          <w:szCs w:val="22"/>
        </w:rPr>
      </w:pPr>
    </w:p>
    <w:p w:rsidR="008C6FEE" w:rsidRDefault="008C6FEE" w:rsidP="00F51C52">
      <w:pPr>
        <w:widowControl/>
        <w:ind w:left="720"/>
        <w:rPr>
          <w:sz w:val="22"/>
          <w:szCs w:val="22"/>
        </w:rPr>
      </w:pPr>
    </w:p>
    <w:p w:rsidR="008C6FEE" w:rsidRDefault="008C6FEE" w:rsidP="00F51C52">
      <w:pPr>
        <w:widowControl/>
        <w:ind w:left="720"/>
        <w:rPr>
          <w:sz w:val="22"/>
          <w:szCs w:val="22"/>
        </w:rPr>
      </w:pPr>
    </w:p>
    <w:p w:rsidR="008C6FEE" w:rsidRDefault="008C6FEE" w:rsidP="00F51C52">
      <w:pPr>
        <w:widowControl/>
        <w:ind w:left="720"/>
        <w:rPr>
          <w:sz w:val="22"/>
          <w:szCs w:val="22"/>
        </w:rPr>
      </w:pPr>
    </w:p>
    <w:p w:rsidR="008C6FEE" w:rsidRDefault="008C6FEE" w:rsidP="00F51C52">
      <w:pPr>
        <w:widowControl/>
        <w:ind w:left="720"/>
        <w:rPr>
          <w:sz w:val="22"/>
          <w:szCs w:val="22"/>
        </w:rPr>
      </w:pPr>
    </w:p>
    <w:p w:rsidR="008C6FEE" w:rsidRDefault="008C6FEE" w:rsidP="00F51C52">
      <w:pPr>
        <w:widowControl/>
        <w:ind w:left="720"/>
        <w:rPr>
          <w:sz w:val="22"/>
          <w:szCs w:val="22"/>
        </w:rPr>
      </w:pPr>
    </w:p>
    <w:p w:rsidR="008C6FEE" w:rsidRDefault="008C6FEE" w:rsidP="00F51C52">
      <w:pPr>
        <w:widowControl/>
        <w:ind w:left="720"/>
        <w:rPr>
          <w:sz w:val="22"/>
          <w:szCs w:val="22"/>
        </w:rPr>
      </w:pPr>
    </w:p>
    <w:p w:rsidR="008C6FEE" w:rsidRDefault="008C6FEE" w:rsidP="00F51C52">
      <w:pPr>
        <w:widowControl/>
        <w:ind w:left="720"/>
        <w:rPr>
          <w:sz w:val="22"/>
          <w:szCs w:val="22"/>
        </w:rPr>
      </w:pPr>
    </w:p>
    <w:p w:rsidR="008C6FEE" w:rsidRDefault="008C6FEE" w:rsidP="00F51C52">
      <w:pPr>
        <w:widowControl/>
        <w:ind w:left="720"/>
        <w:rPr>
          <w:sz w:val="22"/>
          <w:szCs w:val="22"/>
        </w:rPr>
      </w:pPr>
    </w:p>
    <w:p w:rsidR="008C6FEE" w:rsidRDefault="008C6FEE" w:rsidP="00F51C52">
      <w:pPr>
        <w:widowControl/>
        <w:ind w:left="720"/>
        <w:rPr>
          <w:sz w:val="22"/>
          <w:szCs w:val="22"/>
        </w:rPr>
      </w:pPr>
    </w:p>
    <w:p w:rsidR="00EF4B60" w:rsidRDefault="00EF4B60" w:rsidP="00F51C52">
      <w:pPr>
        <w:widowControl/>
        <w:ind w:left="720"/>
        <w:rPr>
          <w:sz w:val="22"/>
          <w:szCs w:val="22"/>
        </w:rPr>
      </w:pPr>
    </w:p>
    <w:p w:rsidR="00EF4B60" w:rsidRDefault="00EF4B60" w:rsidP="00F51C52">
      <w:pPr>
        <w:widowControl/>
        <w:ind w:left="720"/>
        <w:rPr>
          <w:sz w:val="22"/>
          <w:szCs w:val="22"/>
        </w:rPr>
      </w:pPr>
    </w:p>
    <w:p w:rsidR="00EF4B60" w:rsidRPr="0008400E" w:rsidRDefault="00EF4B60" w:rsidP="00F51C52">
      <w:pPr>
        <w:widowControl/>
        <w:ind w:left="720"/>
        <w:rPr>
          <w:sz w:val="48"/>
          <w:szCs w:val="48"/>
        </w:rPr>
      </w:pPr>
      <w:r>
        <w:rPr>
          <w:sz w:val="48"/>
        </w:rPr>
        <w:t>RSB</w:t>
      </w:r>
    </w:p>
    <w:p w:rsidR="00915E8A" w:rsidRPr="008C6FEE" w:rsidRDefault="00EF4B60" w:rsidP="00F51C52">
      <w:pPr>
        <w:widowControl/>
        <w:ind w:left="720"/>
        <w:rPr>
          <w:sz w:val="16"/>
          <w:szCs w:val="16"/>
        </w:rPr>
      </w:pPr>
      <w:r>
        <w:rPr>
          <w:sz w:val="16"/>
        </w:rPr>
        <w:t>ABOGADOS</w:t>
      </w:r>
    </w:p>
    <w:sectPr w:rsidR="00915E8A" w:rsidRPr="008C6FEE" w:rsidSect="00915E8A">
      <w:footnotePr>
        <w:numRestart w:val="eachSect"/>
      </w:footnotePr>
      <w:pgSz w:w="12242" w:h="15842" w:code="1"/>
      <w:pgMar w:top="1440" w:right="1440" w:bottom="1440" w:left="1440" w:header="720" w:footer="720" w:gutter="0"/>
      <w:pgNumType w:fmt="numberInDash"/>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246F" w:rsidRDefault="00BC246F">
      <w:r>
        <w:separator/>
      </w:r>
    </w:p>
  </w:endnote>
  <w:endnote w:type="continuationSeparator" w:id="0">
    <w:p w:rsidR="00BC246F" w:rsidRDefault="00BC24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F3" w:rsidRDefault="00F364F3" w:rsidP="00915E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364F3" w:rsidRDefault="00F364F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F3" w:rsidRDefault="00F364F3" w:rsidP="00915E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63E2">
      <w:rPr>
        <w:rStyle w:val="PageNumber"/>
        <w:noProof/>
      </w:rPr>
      <w:t>- 1 -</w:t>
    </w:r>
    <w:r>
      <w:rPr>
        <w:rStyle w:val="PageNumber"/>
      </w:rPr>
      <w:fldChar w:fldCharType="end"/>
    </w:r>
  </w:p>
  <w:p w:rsidR="00F364F3" w:rsidRDefault="00F364F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F3" w:rsidRDefault="00F364F3">
    <w:pPr>
      <w:widowControl/>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F3" w:rsidRDefault="00F364F3">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246F" w:rsidRDefault="00BC246F">
      <w:r>
        <w:separator/>
      </w:r>
    </w:p>
  </w:footnote>
  <w:footnote w:type="continuationSeparator" w:id="0">
    <w:p w:rsidR="00BC246F" w:rsidRDefault="00BC246F">
      <w:r>
        <w:continuationSeparator/>
      </w:r>
    </w:p>
  </w:footnote>
  <w:footnote w:id="1">
    <w:p w:rsidR="00F364F3" w:rsidRPr="00A96026" w:rsidRDefault="00F364F3" w:rsidP="00915E8A">
      <w:pPr>
        <w:pStyle w:val="Style29"/>
        <w:widowControl/>
        <w:spacing w:after="120" w:line="240" w:lineRule="auto"/>
        <w:rPr>
          <w:sz w:val="18"/>
          <w:szCs w:val="18"/>
        </w:rPr>
      </w:pPr>
      <w:r w:rsidRPr="00984E5F">
        <w:rPr>
          <w:rStyle w:val="FontStyle92"/>
          <w:sz w:val="22"/>
          <w:szCs w:val="22"/>
          <w:vertAlign w:val="superscript"/>
        </w:rPr>
        <w:footnoteRef/>
      </w:r>
      <w:r w:rsidRPr="00984E5F">
        <w:rPr>
          <w:rStyle w:val="FontStyle92"/>
          <w:sz w:val="22"/>
          <w:szCs w:val="22"/>
        </w:rPr>
        <w:t xml:space="preserve"> </w:t>
      </w:r>
      <w:r w:rsidRPr="00A96026">
        <w:rPr>
          <w:rStyle w:val="FontStyle92"/>
          <w:sz w:val="18"/>
          <w:szCs w:val="18"/>
        </w:rPr>
        <w:t>La fecha del 30 de septiembre de 2010 para el final del Período del Informe coincide con el final de la Previsión de USI más reciente preparada por USI para efectos de calcular la Reserva para costos, la cual se prepara trimestralmente.</w:t>
      </w:r>
    </w:p>
  </w:footnote>
  <w:footnote w:id="2">
    <w:p w:rsidR="00F364F3" w:rsidRPr="00A96026" w:rsidRDefault="00F364F3" w:rsidP="00A96026">
      <w:pPr>
        <w:pStyle w:val="Style29"/>
        <w:widowControl/>
        <w:spacing w:after="120" w:line="240" w:lineRule="auto"/>
        <w:rPr>
          <w:sz w:val="18"/>
          <w:szCs w:val="18"/>
        </w:rPr>
      </w:pPr>
      <w:r w:rsidRPr="00984E5F">
        <w:rPr>
          <w:rStyle w:val="FontStyle92"/>
          <w:sz w:val="22"/>
          <w:szCs w:val="22"/>
          <w:vertAlign w:val="superscript"/>
        </w:rPr>
        <w:footnoteRef/>
      </w:r>
      <w:r w:rsidRPr="00984E5F">
        <w:rPr>
          <w:rStyle w:val="FontStyle92"/>
          <w:sz w:val="22"/>
          <w:szCs w:val="22"/>
        </w:rPr>
        <w:t xml:space="preserve"> </w:t>
      </w:r>
      <w:r w:rsidRPr="00A96026">
        <w:rPr>
          <w:rStyle w:val="FontStyle92"/>
          <w:sz w:val="18"/>
          <w:szCs w:val="18"/>
        </w:rPr>
        <w:t>El total de pólizas incluido en el Séptimo Informe del Supervisor fue de 155, de las cuales cuatro pólizas con un total aproximado de US$39,000 se vencieron durante el período comprendido entre el Séptimo Informe y el inicio del Período del Informe. Estos ingresos fueron transferidos a la Cuenta de fideicomiso supervisada en la Fecha de implementación del Plan. Además, hay tres pólizas que USI vendió antes de los Procedimientos según la CCAA, las cuales no se pudieron transferir al Comprador y fueron añadidas al conjunto de pólizas durante el Período del Informe. Hubieron otras siete pólizas que se vencieron durante el Período del Informe; en consecuencia, las 147 pólizas restantes que todavía no se han vencido tienen un total de aproximadamente $174 millones en indemnizaciones por muerte previstas.</w:t>
      </w:r>
    </w:p>
  </w:footnote>
  <w:footnote w:id="3">
    <w:p w:rsidR="00F364F3" w:rsidRPr="00A96026" w:rsidRDefault="00F364F3" w:rsidP="00A96026">
      <w:pPr>
        <w:pStyle w:val="Style29"/>
        <w:widowControl/>
        <w:spacing w:after="120" w:line="240" w:lineRule="auto"/>
        <w:rPr>
          <w:sz w:val="18"/>
          <w:szCs w:val="18"/>
        </w:rPr>
      </w:pPr>
      <w:r w:rsidRPr="00984E5F">
        <w:rPr>
          <w:rStyle w:val="FootnoteReference"/>
          <w:sz w:val="22"/>
          <w:szCs w:val="22"/>
        </w:rPr>
        <w:footnoteRef/>
      </w:r>
      <w:r w:rsidRPr="00984E5F">
        <w:rPr>
          <w:sz w:val="22"/>
          <w:szCs w:val="22"/>
        </w:rPr>
        <w:t xml:space="preserve"> </w:t>
      </w:r>
      <w:r w:rsidRPr="00A96026">
        <w:rPr>
          <w:sz w:val="18"/>
          <w:szCs w:val="18"/>
        </w:rPr>
        <w:t>N. del T. El Tribunal Regional [</w:t>
      </w:r>
      <w:r w:rsidRPr="00A96026">
        <w:rPr>
          <w:i/>
          <w:sz w:val="18"/>
          <w:szCs w:val="18"/>
        </w:rPr>
        <w:t>“Divisional Court”</w:t>
      </w:r>
      <w:r w:rsidRPr="00A96026">
        <w:rPr>
          <w:sz w:val="18"/>
          <w:szCs w:val="18"/>
        </w:rPr>
        <w:t xml:space="preserve">] es una rama del Tribunal Superior de Justicia y uno de los Tribunales de apelación más ocupados de Canadá; no es un Tribunal de primera instancia. Es el foro principal para la revisión de la acción gubernamental en la provincia de Ontario y también ve apelaciones legales provenientes de tribunales administrativos en la provincia y algunas apelaciones civiles, según lo dispuesto en la </w:t>
      </w:r>
      <w:r w:rsidRPr="00A96026">
        <w:rPr>
          <w:rStyle w:val="FontStyle92"/>
          <w:sz w:val="18"/>
          <w:szCs w:val="18"/>
        </w:rPr>
        <w:t>Ley</w:t>
      </w:r>
      <w:r w:rsidRPr="00A96026">
        <w:rPr>
          <w:sz w:val="18"/>
          <w:szCs w:val="18"/>
        </w:rPr>
        <w:t xml:space="preserve"> de Tribunales de Justicia. (</w:t>
      </w:r>
      <w:hyperlink r:id="rId1" w:history="1">
        <w:r w:rsidRPr="007F282F">
          <w:rPr>
            <w:rStyle w:val="Hyperlink"/>
            <w:sz w:val="18"/>
            <w:szCs w:val="18"/>
          </w:rPr>
          <w:t>http://www.ontariocourts.on.ca/scj/en/divct/</w:t>
        </w:r>
      </w:hyperlink>
      <w:r w:rsidRPr="00A96026">
        <w:rPr>
          <w:sz w:val="18"/>
          <w:szCs w:val="18"/>
        </w:rPr>
        <w:t>)</w:t>
      </w:r>
      <w:r w:rsidRPr="00A96026">
        <w:t xml:space="preserve"> </w:t>
      </w:r>
    </w:p>
  </w:footnote>
  <w:footnote w:id="4">
    <w:p w:rsidR="00F364F3" w:rsidRDefault="00F364F3">
      <w:pPr>
        <w:pStyle w:val="FootnoteText"/>
      </w:pPr>
      <w:r w:rsidRPr="00984E5F">
        <w:rPr>
          <w:rStyle w:val="FootnoteReference"/>
          <w:sz w:val="22"/>
          <w:szCs w:val="22"/>
        </w:rPr>
        <w:footnoteRef/>
      </w:r>
      <w:r w:rsidRPr="00984E5F">
        <w:rPr>
          <w:sz w:val="22"/>
          <w:szCs w:val="22"/>
        </w:rPr>
        <w:t xml:space="preserve"> </w:t>
      </w:r>
      <w:r>
        <w:tab/>
      </w:r>
      <w:r>
        <w:rPr>
          <w:rStyle w:val="FontStyle92"/>
          <w:sz w:val="18"/>
        </w:rPr>
        <w:t>Tasa de cambio de 1.048300 del 19 de agosto de 2010</w:t>
      </w:r>
    </w:p>
  </w:footnote>
  <w:footnote w:id="5">
    <w:p w:rsidR="00F364F3" w:rsidRDefault="00F364F3" w:rsidP="00915E8A">
      <w:pPr>
        <w:pStyle w:val="Style59"/>
        <w:widowControl/>
        <w:spacing w:before="106" w:line="221" w:lineRule="exact"/>
      </w:pPr>
      <w:r w:rsidRPr="00984E5F">
        <w:rPr>
          <w:rStyle w:val="FootnoteReference"/>
          <w:sz w:val="22"/>
          <w:szCs w:val="22"/>
        </w:rPr>
        <w:footnoteRef/>
      </w:r>
      <w:r w:rsidRPr="00984E5F">
        <w:rPr>
          <w:sz w:val="22"/>
          <w:szCs w:val="22"/>
        </w:rPr>
        <w:t xml:space="preserve"> </w:t>
      </w:r>
      <w:r>
        <w:tab/>
      </w:r>
      <w:r>
        <w:rPr>
          <w:rStyle w:val="FontStyle92"/>
          <w:sz w:val="18"/>
        </w:rPr>
        <w:t>Los intereses pre-juicio se calculan a una tasa de 4.5% del 6 de diciembre de 2007 al 23 de agosto de 2010 con una cantidad diaria de $679.46.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F3" w:rsidRDefault="00F364F3" w:rsidP="00EC29C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364F3" w:rsidRDefault="00F364F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F3" w:rsidRDefault="00F364F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F3" w:rsidRDefault="00F364F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F3" w:rsidRDefault="00F364F3">
    <w:pPr>
      <w:widowControl/>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F3" w:rsidRDefault="00F364F3" w:rsidP="00915E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63E2">
      <w:rPr>
        <w:rStyle w:val="PageNumber"/>
        <w:noProof/>
      </w:rPr>
      <w:t>- 4 -</w:t>
    </w:r>
    <w:r>
      <w:rPr>
        <w:rStyle w:val="PageNumber"/>
      </w:rPr>
      <w:fldChar w:fldCharType="end"/>
    </w:r>
  </w:p>
  <w:p w:rsidR="00F364F3" w:rsidRDefault="00F364F3">
    <w:pPr>
      <w:widowControl/>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F3" w:rsidRDefault="00F364F3">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F3" w:rsidRDefault="00F364F3" w:rsidP="00915E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63E2">
      <w:rPr>
        <w:rStyle w:val="PageNumber"/>
        <w:noProof/>
      </w:rPr>
      <w:t>- 2 -</w:t>
    </w:r>
    <w:r>
      <w:rPr>
        <w:rStyle w:val="PageNumber"/>
      </w:rPr>
      <w:fldChar w:fldCharType="end"/>
    </w:r>
  </w:p>
  <w:p w:rsidR="00F364F3" w:rsidRDefault="00F364F3">
    <w:pPr>
      <w:widowControl/>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F3" w:rsidRDefault="00F364F3" w:rsidP="00915E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63E2">
      <w:rPr>
        <w:rStyle w:val="PageNumber"/>
        <w:noProof/>
      </w:rPr>
      <w:t>- 2 -</w:t>
    </w:r>
    <w:r>
      <w:rPr>
        <w:rStyle w:val="PageNumber"/>
      </w:rPr>
      <w:fldChar w:fldCharType="end"/>
    </w:r>
  </w:p>
  <w:p w:rsidR="00F364F3" w:rsidRDefault="00F364F3">
    <w:pPr>
      <w:widowControl/>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F3" w:rsidRDefault="00F364F3">
    <w:pPr>
      <w:widowControl/>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12F04"/>
    <w:multiLevelType w:val="multilevel"/>
    <w:tmpl w:val="850A3404"/>
    <w:lvl w:ilvl="0">
      <w:start w:val="1"/>
      <w:numFmt w:val="decimal"/>
      <w:lvlText w:val="%1)"/>
      <w:lvlJc w:val="left"/>
      <w:pPr>
        <w:tabs>
          <w:tab w:val="num" w:pos="360"/>
        </w:tabs>
        <w:ind w:left="360" w:hanging="360"/>
      </w:pPr>
      <w:rPr>
        <w:rFonts w:hint="default"/>
      </w:rPr>
    </w:lvl>
    <w:lvl w:ilvl="1">
      <w:start w:val="1"/>
      <w:numFmt w:val="lowerRoman"/>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nsid w:val="02E54B2B"/>
    <w:multiLevelType w:val="singleLevel"/>
    <w:tmpl w:val="0AE44A42"/>
    <w:lvl w:ilvl="0">
      <w:start w:val="1"/>
      <w:numFmt w:val="decimal"/>
      <w:lvlText w:val="%1."/>
      <w:legacy w:legacy="1" w:legacySpace="0" w:legacyIndent="715"/>
      <w:lvlJc w:val="left"/>
      <w:rPr>
        <w:rFonts w:ascii="Times New Roman" w:hAnsi="Times New Roman" w:cs="Times New Roman" w:hint="default"/>
      </w:rPr>
    </w:lvl>
  </w:abstractNum>
  <w:abstractNum w:abstractNumId="2">
    <w:nsid w:val="059731AD"/>
    <w:multiLevelType w:val="singleLevel"/>
    <w:tmpl w:val="F4949274"/>
    <w:lvl w:ilvl="0">
      <w:start w:val="17"/>
      <w:numFmt w:val="decimal"/>
      <w:lvlText w:val="%1."/>
      <w:legacy w:legacy="1" w:legacySpace="0" w:legacyIndent="691"/>
      <w:lvlJc w:val="left"/>
      <w:rPr>
        <w:rFonts w:ascii="Times New Roman" w:hAnsi="Times New Roman" w:cs="Times New Roman" w:hint="default"/>
      </w:rPr>
    </w:lvl>
  </w:abstractNum>
  <w:abstractNum w:abstractNumId="3">
    <w:nsid w:val="065101A4"/>
    <w:multiLevelType w:val="multilevel"/>
    <w:tmpl w:val="D144B59A"/>
    <w:lvl w:ilvl="0">
      <w:start w:val="1"/>
      <w:numFmt w:val="decimal"/>
      <w:lvlText w:val="%1."/>
      <w:lvlJc w:val="left"/>
      <w:pPr>
        <w:tabs>
          <w:tab w:val="num" w:pos="360"/>
        </w:tabs>
        <w:ind w:left="360" w:hanging="360"/>
      </w:pPr>
      <w:rPr>
        <w:rFonts w:hint="default"/>
      </w:rPr>
    </w:lvl>
    <w:lvl w:ilvl="1">
      <w:start w:val="1"/>
      <w:numFmt w:val="lowerRoman"/>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6BA2FD5"/>
    <w:multiLevelType w:val="hybridMultilevel"/>
    <w:tmpl w:val="A9F801AA"/>
    <w:lvl w:ilvl="0">
      <w:start w:val="1"/>
      <w:numFmt w:val="lowerRoman"/>
      <w:lvlText w:val="%1)"/>
      <w:legacy w:legacy="1" w:legacySpace="0" w:legacyIndent="538"/>
      <w:lvlJc w:val="left"/>
      <w:rPr>
        <w:rFonts w:ascii="Times New Roman" w:hAnsi="Times New Roman" w:cs="Times New Roman" w:hint="default"/>
      </w:rPr>
    </w:lvl>
    <w:lvl w:ilvl="1" w:tentative="1">
      <w:start w:val="1"/>
      <w:numFmt w:val="lowerLetter"/>
      <w:lvlText w:val="%2."/>
      <w:lvlJc w:val="left"/>
      <w:pPr>
        <w:tabs>
          <w:tab w:val="num" w:pos="3054"/>
        </w:tabs>
        <w:ind w:left="3054" w:hanging="360"/>
      </w:pPr>
      <w:rPr>
        <w:rFonts w:cs="Times New Roman"/>
      </w:rPr>
    </w:lvl>
    <w:lvl w:ilvl="2" w:tentative="1">
      <w:start w:val="1"/>
      <w:numFmt w:val="lowerRoman"/>
      <w:lvlText w:val="%3."/>
      <w:lvlJc w:val="right"/>
      <w:pPr>
        <w:tabs>
          <w:tab w:val="num" w:pos="3774"/>
        </w:tabs>
        <w:ind w:left="3774" w:hanging="180"/>
      </w:pPr>
      <w:rPr>
        <w:rFonts w:cs="Times New Roman"/>
      </w:rPr>
    </w:lvl>
    <w:lvl w:ilvl="3" w:tentative="1">
      <w:start w:val="1"/>
      <w:numFmt w:val="decimal"/>
      <w:lvlText w:val="%4."/>
      <w:lvlJc w:val="left"/>
      <w:pPr>
        <w:tabs>
          <w:tab w:val="num" w:pos="4494"/>
        </w:tabs>
        <w:ind w:left="4494" w:hanging="360"/>
      </w:pPr>
      <w:rPr>
        <w:rFonts w:cs="Times New Roman"/>
      </w:rPr>
    </w:lvl>
    <w:lvl w:ilvl="4" w:tentative="1">
      <w:start w:val="1"/>
      <w:numFmt w:val="lowerLetter"/>
      <w:lvlText w:val="%5."/>
      <w:lvlJc w:val="left"/>
      <w:pPr>
        <w:tabs>
          <w:tab w:val="num" w:pos="5214"/>
        </w:tabs>
        <w:ind w:left="5214" w:hanging="360"/>
      </w:pPr>
      <w:rPr>
        <w:rFonts w:cs="Times New Roman"/>
      </w:rPr>
    </w:lvl>
    <w:lvl w:ilvl="5" w:tentative="1">
      <w:start w:val="1"/>
      <w:numFmt w:val="lowerRoman"/>
      <w:lvlText w:val="%6."/>
      <w:lvlJc w:val="right"/>
      <w:pPr>
        <w:tabs>
          <w:tab w:val="num" w:pos="5934"/>
        </w:tabs>
        <w:ind w:left="5934" w:hanging="180"/>
      </w:pPr>
      <w:rPr>
        <w:rFonts w:cs="Times New Roman"/>
      </w:rPr>
    </w:lvl>
    <w:lvl w:ilvl="6" w:tentative="1">
      <w:start w:val="1"/>
      <w:numFmt w:val="decimal"/>
      <w:lvlText w:val="%7."/>
      <w:lvlJc w:val="left"/>
      <w:pPr>
        <w:tabs>
          <w:tab w:val="num" w:pos="6654"/>
        </w:tabs>
        <w:ind w:left="6654" w:hanging="360"/>
      </w:pPr>
      <w:rPr>
        <w:rFonts w:cs="Times New Roman"/>
      </w:rPr>
    </w:lvl>
    <w:lvl w:ilvl="7" w:tentative="1">
      <w:start w:val="1"/>
      <w:numFmt w:val="lowerLetter"/>
      <w:lvlText w:val="%8."/>
      <w:lvlJc w:val="left"/>
      <w:pPr>
        <w:tabs>
          <w:tab w:val="num" w:pos="7374"/>
        </w:tabs>
        <w:ind w:left="7374" w:hanging="360"/>
      </w:pPr>
      <w:rPr>
        <w:rFonts w:cs="Times New Roman"/>
      </w:rPr>
    </w:lvl>
    <w:lvl w:ilvl="8" w:tentative="1">
      <w:start w:val="1"/>
      <w:numFmt w:val="lowerRoman"/>
      <w:lvlText w:val="%9."/>
      <w:lvlJc w:val="right"/>
      <w:pPr>
        <w:tabs>
          <w:tab w:val="num" w:pos="8094"/>
        </w:tabs>
        <w:ind w:left="8094" w:hanging="180"/>
      </w:pPr>
      <w:rPr>
        <w:rFonts w:cs="Times New Roman"/>
      </w:rPr>
    </w:lvl>
  </w:abstractNum>
  <w:abstractNum w:abstractNumId="5">
    <w:nsid w:val="06DC67B7"/>
    <w:multiLevelType w:val="singleLevel"/>
    <w:tmpl w:val="3212529E"/>
    <w:lvl w:ilvl="0">
      <w:start w:val="9"/>
      <w:numFmt w:val="decimal"/>
      <w:lvlText w:val="%1."/>
      <w:legacy w:legacy="1" w:legacySpace="0" w:legacyIndent="696"/>
      <w:lvlJc w:val="left"/>
      <w:rPr>
        <w:rFonts w:ascii="Times New Roman" w:hAnsi="Times New Roman" w:cs="Times New Roman" w:hint="default"/>
      </w:rPr>
    </w:lvl>
  </w:abstractNum>
  <w:abstractNum w:abstractNumId="6">
    <w:nsid w:val="126B4F48"/>
    <w:multiLevelType w:val="hybridMultilevel"/>
    <w:tmpl w:val="62D6438A"/>
    <w:lvl w:ilvl="0">
      <w:start w:val="1"/>
      <w:numFmt w:val="lowerRoman"/>
      <w:lvlText w:val="%1)"/>
      <w:legacy w:legacy="1" w:legacySpace="0" w:legacyIndent="538"/>
      <w:lvlJc w:val="left"/>
      <w:rPr>
        <w:rFonts w:ascii="Times New Roman" w:hAnsi="Times New Roman"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
    <w:nsid w:val="128D5AD7"/>
    <w:multiLevelType w:val="singleLevel"/>
    <w:tmpl w:val="639819D6"/>
    <w:lvl w:ilvl="0">
      <w:start w:val="44"/>
      <w:numFmt w:val="decimal"/>
      <w:lvlText w:val="%1."/>
      <w:legacy w:legacy="1" w:legacySpace="0" w:legacyIndent="720"/>
      <w:lvlJc w:val="left"/>
      <w:rPr>
        <w:rFonts w:ascii="Times New Roman" w:hAnsi="Times New Roman" w:cs="Times New Roman" w:hint="default"/>
      </w:rPr>
    </w:lvl>
  </w:abstractNum>
  <w:abstractNum w:abstractNumId="8">
    <w:nsid w:val="13DC0AC2"/>
    <w:multiLevelType w:val="singleLevel"/>
    <w:tmpl w:val="E886F162"/>
    <w:lvl w:ilvl="0">
      <w:start w:val="28"/>
      <w:numFmt w:val="decimal"/>
      <w:lvlText w:val="%1."/>
      <w:legacy w:legacy="1" w:legacySpace="0" w:legacyIndent="715"/>
      <w:lvlJc w:val="left"/>
      <w:rPr>
        <w:rFonts w:ascii="Times New Roman" w:hAnsi="Times New Roman" w:cs="Times New Roman" w:hint="default"/>
      </w:rPr>
    </w:lvl>
  </w:abstractNum>
  <w:abstractNum w:abstractNumId="9">
    <w:nsid w:val="1CAF2E6B"/>
    <w:multiLevelType w:val="multilevel"/>
    <w:tmpl w:val="2EE6B014"/>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nsid w:val="1E8167C1"/>
    <w:multiLevelType w:val="singleLevel"/>
    <w:tmpl w:val="E0A0E806"/>
    <w:lvl w:ilvl="0">
      <w:start w:val="1"/>
      <w:numFmt w:val="decimal"/>
      <w:lvlText w:val="%1."/>
      <w:legacy w:legacy="1" w:legacySpace="0" w:legacyIndent="1392"/>
      <w:lvlJc w:val="left"/>
      <w:rPr>
        <w:rFonts w:ascii="Times New Roman" w:hAnsi="Times New Roman" w:cs="Times New Roman" w:hint="default"/>
        <w:b w:val="0"/>
      </w:rPr>
    </w:lvl>
  </w:abstractNum>
  <w:abstractNum w:abstractNumId="11">
    <w:nsid w:val="245101DB"/>
    <w:multiLevelType w:val="singleLevel"/>
    <w:tmpl w:val="D028393A"/>
    <w:lvl w:ilvl="0">
      <w:start w:val="33"/>
      <w:numFmt w:val="decimal"/>
      <w:lvlText w:val="%1."/>
      <w:legacy w:legacy="1" w:legacySpace="0" w:legacyIndent="720"/>
      <w:lvlJc w:val="left"/>
      <w:rPr>
        <w:rFonts w:ascii="Times New Roman" w:hAnsi="Times New Roman" w:cs="Times New Roman" w:hint="default"/>
      </w:rPr>
    </w:lvl>
  </w:abstractNum>
  <w:abstractNum w:abstractNumId="12">
    <w:nsid w:val="27BD445A"/>
    <w:multiLevelType w:val="singleLevel"/>
    <w:tmpl w:val="07B29F2C"/>
    <w:lvl w:ilvl="0">
      <w:start w:val="24"/>
      <w:numFmt w:val="decimal"/>
      <w:lvlText w:val="%1."/>
      <w:legacy w:legacy="1" w:legacySpace="0" w:legacyIndent="710"/>
      <w:lvlJc w:val="left"/>
      <w:rPr>
        <w:rFonts w:ascii="Times New Roman" w:hAnsi="Times New Roman" w:cs="Times New Roman" w:hint="default"/>
      </w:rPr>
    </w:lvl>
  </w:abstractNum>
  <w:abstractNum w:abstractNumId="13">
    <w:nsid w:val="29E87381"/>
    <w:multiLevelType w:val="singleLevel"/>
    <w:tmpl w:val="DD84AF12"/>
    <w:lvl w:ilvl="0">
      <w:start w:val="1"/>
      <w:numFmt w:val="lowerRoman"/>
      <w:lvlText w:val="%1)"/>
      <w:legacy w:legacy="1" w:legacySpace="0" w:legacyIndent="504"/>
      <w:lvlJc w:val="left"/>
      <w:rPr>
        <w:rFonts w:ascii="Times New Roman" w:hAnsi="Times New Roman" w:cs="Times New Roman" w:hint="default"/>
      </w:rPr>
    </w:lvl>
  </w:abstractNum>
  <w:abstractNum w:abstractNumId="14">
    <w:nsid w:val="2BB31E24"/>
    <w:multiLevelType w:val="hybridMultilevel"/>
    <w:tmpl w:val="B7165766"/>
    <w:lvl w:ilvl="0">
      <w:start w:val="1"/>
      <w:numFmt w:val="lowerRoman"/>
      <w:lvlText w:val="(%1)"/>
      <w:lvlJc w:val="left"/>
      <w:pPr>
        <w:tabs>
          <w:tab w:val="num" w:pos="1508"/>
        </w:tabs>
        <w:ind w:left="1508" w:hanging="720"/>
      </w:pPr>
      <w:rPr>
        <w:rFonts w:cs="Times New Roman" w:hint="default"/>
      </w:rPr>
    </w:lvl>
    <w:lvl w:ilvl="1" w:tentative="1">
      <w:start w:val="1"/>
      <w:numFmt w:val="lowerLetter"/>
      <w:lvlText w:val="%2."/>
      <w:lvlJc w:val="left"/>
      <w:pPr>
        <w:tabs>
          <w:tab w:val="num" w:pos="1868"/>
        </w:tabs>
        <w:ind w:left="1868" w:hanging="360"/>
      </w:pPr>
      <w:rPr>
        <w:rFonts w:cs="Times New Roman"/>
      </w:rPr>
    </w:lvl>
    <w:lvl w:ilvl="2" w:tentative="1">
      <w:start w:val="1"/>
      <w:numFmt w:val="lowerRoman"/>
      <w:lvlText w:val="%3."/>
      <w:lvlJc w:val="right"/>
      <w:pPr>
        <w:tabs>
          <w:tab w:val="num" w:pos="2588"/>
        </w:tabs>
        <w:ind w:left="2588" w:hanging="180"/>
      </w:pPr>
      <w:rPr>
        <w:rFonts w:cs="Times New Roman"/>
      </w:rPr>
    </w:lvl>
    <w:lvl w:ilvl="3" w:tentative="1">
      <w:start w:val="1"/>
      <w:numFmt w:val="decimal"/>
      <w:lvlText w:val="%4."/>
      <w:lvlJc w:val="left"/>
      <w:pPr>
        <w:tabs>
          <w:tab w:val="num" w:pos="3308"/>
        </w:tabs>
        <w:ind w:left="3308" w:hanging="360"/>
      </w:pPr>
      <w:rPr>
        <w:rFonts w:cs="Times New Roman"/>
      </w:rPr>
    </w:lvl>
    <w:lvl w:ilvl="4" w:tentative="1">
      <w:start w:val="1"/>
      <w:numFmt w:val="lowerLetter"/>
      <w:lvlText w:val="%5."/>
      <w:lvlJc w:val="left"/>
      <w:pPr>
        <w:tabs>
          <w:tab w:val="num" w:pos="4028"/>
        </w:tabs>
        <w:ind w:left="4028" w:hanging="360"/>
      </w:pPr>
      <w:rPr>
        <w:rFonts w:cs="Times New Roman"/>
      </w:rPr>
    </w:lvl>
    <w:lvl w:ilvl="5" w:tentative="1">
      <w:start w:val="1"/>
      <w:numFmt w:val="lowerRoman"/>
      <w:lvlText w:val="%6."/>
      <w:lvlJc w:val="right"/>
      <w:pPr>
        <w:tabs>
          <w:tab w:val="num" w:pos="4748"/>
        </w:tabs>
        <w:ind w:left="4748" w:hanging="180"/>
      </w:pPr>
      <w:rPr>
        <w:rFonts w:cs="Times New Roman"/>
      </w:rPr>
    </w:lvl>
    <w:lvl w:ilvl="6" w:tentative="1">
      <w:start w:val="1"/>
      <w:numFmt w:val="decimal"/>
      <w:lvlText w:val="%7."/>
      <w:lvlJc w:val="left"/>
      <w:pPr>
        <w:tabs>
          <w:tab w:val="num" w:pos="5468"/>
        </w:tabs>
        <w:ind w:left="5468" w:hanging="360"/>
      </w:pPr>
      <w:rPr>
        <w:rFonts w:cs="Times New Roman"/>
      </w:rPr>
    </w:lvl>
    <w:lvl w:ilvl="7" w:tentative="1">
      <w:start w:val="1"/>
      <w:numFmt w:val="lowerLetter"/>
      <w:lvlText w:val="%8."/>
      <w:lvlJc w:val="left"/>
      <w:pPr>
        <w:tabs>
          <w:tab w:val="num" w:pos="6188"/>
        </w:tabs>
        <w:ind w:left="6188" w:hanging="360"/>
      </w:pPr>
      <w:rPr>
        <w:rFonts w:cs="Times New Roman"/>
      </w:rPr>
    </w:lvl>
    <w:lvl w:ilvl="8" w:tentative="1">
      <w:start w:val="1"/>
      <w:numFmt w:val="lowerRoman"/>
      <w:lvlText w:val="%9."/>
      <w:lvlJc w:val="right"/>
      <w:pPr>
        <w:tabs>
          <w:tab w:val="num" w:pos="6908"/>
        </w:tabs>
        <w:ind w:left="6908" w:hanging="180"/>
      </w:pPr>
      <w:rPr>
        <w:rFonts w:cs="Times New Roman"/>
      </w:rPr>
    </w:lvl>
  </w:abstractNum>
  <w:abstractNum w:abstractNumId="15">
    <w:nsid w:val="2F0D388F"/>
    <w:multiLevelType w:val="singleLevel"/>
    <w:tmpl w:val="EDE6166C"/>
    <w:lvl w:ilvl="0">
      <w:start w:val="36"/>
      <w:numFmt w:val="decimal"/>
      <w:lvlText w:val="%1."/>
      <w:legacy w:legacy="1" w:legacySpace="0" w:legacyIndent="739"/>
      <w:lvlJc w:val="left"/>
      <w:rPr>
        <w:rFonts w:ascii="Times New Roman" w:hAnsi="Times New Roman" w:cs="Times New Roman" w:hint="default"/>
      </w:rPr>
    </w:lvl>
  </w:abstractNum>
  <w:abstractNum w:abstractNumId="16">
    <w:nsid w:val="35431C6A"/>
    <w:multiLevelType w:val="singleLevel"/>
    <w:tmpl w:val="6DF81F10"/>
    <w:lvl w:ilvl="0">
      <w:start w:val="5"/>
      <w:numFmt w:val="lowerRoman"/>
      <w:lvlText w:val="%1)"/>
      <w:legacy w:legacy="1" w:legacySpace="0" w:legacyIndent="538"/>
      <w:lvlJc w:val="left"/>
      <w:rPr>
        <w:rFonts w:ascii="Times New Roman" w:hAnsi="Times New Roman" w:cs="Times New Roman" w:hint="default"/>
      </w:rPr>
    </w:lvl>
  </w:abstractNum>
  <w:abstractNum w:abstractNumId="17">
    <w:nsid w:val="38460167"/>
    <w:multiLevelType w:val="singleLevel"/>
    <w:tmpl w:val="EFCE3D3A"/>
    <w:lvl w:ilvl="0">
      <w:start w:val="27"/>
      <w:numFmt w:val="decimal"/>
      <w:lvlText w:val="%1."/>
      <w:legacy w:legacy="1" w:legacySpace="0" w:legacyIndent="710"/>
      <w:lvlJc w:val="left"/>
      <w:rPr>
        <w:rFonts w:ascii="Times New Roman" w:hAnsi="Times New Roman" w:cs="Times New Roman" w:hint="default"/>
      </w:rPr>
    </w:lvl>
  </w:abstractNum>
  <w:abstractNum w:abstractNumId="18">
    <w:nsid w:val="3F8B6E2E"/>
    <w:multiLevelType w:val="hybridMultilevel"/>
    <w:tmpl w:val="B802AFD6"/>
    <w:lvl w:ilvl="0">
      <w:start w:val="1"/>
      <w:numFmt w:val="lowerRoman"/>
      <w:lvlText w:val="%1)"/>
      <w:lvlJc w:val="left"/>
      <w:pPr>
        <w:tabs>
          <w:tab w:val="num" w:pos="0"/>
        </w:tabs>
      </w:pPr>
      <w:rPr>
        <w:rFonts w:ascii="Times New Roman" w:hAnsi="Times New Roman"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9">
    <w:nsid w:val="427077E2"/>
    <w:multiLevelType w:val="multilevel"/>
    <w:tmpl w:val="60784E64"/>
    <w:lvl w:ilvl="0">
      <w:start w:val="2"/>
      <w:numFmt w:val="lowerRoman"/>
      <w:lvlText w:val="%1)"/>
      <w:legacy w:legacy="1" w:legacySpace="0" w:legacyIndent="533"/>
      <w:lvlJc w:val="left"/>
      <w:rPr>
        <w:rFonts w:ascii="Times New Roman" w:hAnsi="Times New Roman"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47804F04"/>
    <w:multiLevelType w:val="singleLevel"/>
    <w:tmpl w:val="4A7A9912"/>
    <w:lvl w:ilvl="0">
      <w:start w:val="10"/>
      <w:numFmt w:val="decimal"/>
      <w:lvlText w:val="%1."/>
      <w:legacy w:legacy="1" w:legacySpace="0" w:legacyIndent="1397"/>
      <w:lvlJc w:val="left"/>
      <w:rPr>
        <w:rFonts w:ascii="Times New Roman" w:hAnsi="Times New Roman" w:cs="Times New Roman" w:hint="default"/>
      </w:rPr>
    </w:lvl>
  </w:abstractNum>
  <w:abstractNum w:abstractNumId="21">
    <w:nsid w:val="4D353696"/>
    <w:multiLevelType w:val="hybridMultilevel"/>
    <w:tmpl w:val="BD1A260C"/>
    <w:lvl w:ilvl="0">
      <w:start w:val="2"/>
      <w:numFmt w:val="lowerRoman"/>
      <w:lvlText w:val="%1)"/>
      <w:legacy w:legacy="1" w:legacySpace="0" w:legacyIndent="533"/>
      <w:lvlJc w:val="left"/>
      <w:rPr>
        <w:rFonts w:ascii="Times New Roman" w:hAnsi="Times New Roman"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2">
    <w:nsid w:val="539B179C"/>
    <w:multiLevelType w:val="singleLevel"/>
    <w:tmpl w:val="C1929CFC"/>
    <w:lvl w:ilvl="0">
      <w:start w:val="48"/>
      <w:numFmt w:val="decimal"/>
      <w:lvlText w:val="%1."/>
      <w:legacy w:legacy="1" w:legacySpace="0" w:legacyIndent="720"/>
      <w:lvlJc w:val="left"/>
      <w:rPr>
        <w:rFonts w:ascii="Times New Roman" w:hAnsi="Times New Roman" w:cs="Times New Roman" w:hint="default"/>
      </w:rPr>
    </w:lvl>
  </w:abstractNum>
  <w:abstractNum w:abstractNumId="23">
    <w:nsid w:val="53F80D50"/>
    <w:multiLevelType w:val="hybridMultilevel"/>
    <w:tmpl w:val="AB1C02EC"/>
    <w:lvl w:ilvl="0">
      <w:start w:val="1"/>
      <w:numFmt w:val="lowerRoman"/>
      <w:lvlText w:val="%1)"/>
      <w:legacy w:legacy="1" w:legacySpace="0" w:legacyIndent="538"/>
      <w:lvlJc w:val="left"/>
      <w:rPr>
        <w:rFonts w:ascii="Times New Roman" w:hAnsi="Times New Roman" w:cs="Times New Roman" w:hint="default"/>
      </w:rPr>
    </w:lvl>
    <w:lvl w:ilvl="1" w:tentative="1">
      <w:start w:val="1"/>
      <w:numFmt w:val="lowerLetter"/>
      <w:lvlText w:val="%2."/>
      <w:lvlJc w:val="left"/>
      <w:pPr>
        <w:tabs>
          <w:tab w:val="num" w:pos="2228"/>
        </w:tabs>
        <w:ind w:left="2228" w:hanging="360"/>
      </w:pPr>
      <w:rPr>
        <w:rFonts w:cs="Times New Roman"/>
      </w:rPr>
    </w:lvl>
    <w:lvl w:ilvl="2" w:tentative="1">
      <w:start w:val="1"/>
      <w:numFmt w:val="lowerRoman"/>
      <w:lvlText w:val="%3."/>
      <w:lvlJc w:val="right"/>
      <w:pPr>
        <w:tabs>
          <w:tab w:val="num" w:pos="2948"/>
        </w:tabs>
        <w:ind w:left="2948" w:hanging="180"/>
      </w:pPr>
      <w:rPr>
        <w:rFonts w:cs="Times New Roman"/>
      </w:rPr>
    </w:lvl>
    <w:lvl w:ilvl="3" w:tentative="1">
      <w:start w:val="1"/>
      <w:numFmt w:val="decimal"/>
      <w:lvlText w:val="%4."/>
      <w:lvlJc w:val="left"/>
      <w:pPr>
        <w:tabs>
          <w:tab w:val="num" w:pos="3668"/>
        </w:tabs>
        <w:ind w:left="3668" w:hanging="360"/>
      </w:pPr>
      <w:rPr>
        <w:rFonts w:cs="Times New Roman"/>
      </w:rPr>
    </w:lvl>
    <w:lvl w:ilvl="4" w:tentative="1">
      <w:start w:val="1"/>
      <w:numFmt w:val="lowerLetter"/>
      <w:lvlText w:val="%5."/>
      <w:lvlJc w:val="left"/>
      <w:pPr>
        <w:tabs>
          <w:tab w:val="num" w:pos="4388"/>
        </w:tabs>
        <w:ind w:left="4388" w:hanging="360"/>
      </w:pPr>
      <w:rPr>
        <w:rFonts w:cs="Times New Roman"/>
      </w:rPr>
    </w:lvl>
    <w:lvl w:ilvl="5" w:tentative="1">
      <w:start w:val="1"/>
      <w:numFmt w:val="lowerRoman"/>
      <w:lvlText w:val="%6."/>
      <w:lvlJc w:val="right"/>
      <w:pPr>
        <w:tabs>
          <w:tab w:val="num" w:pos="5108"/>
        </w:tabs>
        <w:ind w:left="5108" w:hanging="180"/>
      </w:pPr>
      <w:rPr>
        <w:rFonts w:cs="Times New Roman"/>
      </w:rPr>
    </w:lvl>
    <w:lvl w:ilvl="6" w:tentative="1">
      <w:start w:val="1"/>
      <w:numFmt w:val="decimal"/>
      <w:lvlText w:val="%7."/>
      <w:lvlJc w:val="left"/>
      <w:pPr>
        <w:tabs>
          <w:tab w:val="num" w:pos="5828"/>
        </w:tabs>
        <w:ind w:left="5828" w:hanging="360"/>
      </w:pPr>
      <w:rPr>
        <w:rFonts w:cs="Times New Roman"/>
      </w:rPr>
    </w:lvl>
    <w:lvl w:ilvl="7" w:tentative="1">
      <w:start w:val="1"/>
      <w:numFmt w:val="lowerLetter"/>
      <w:lvlText w:val="%8."/>
      <w:lvlJc w:val="left"/>
      <w:pPr>
        <w:tabs>
          <w:tab w:val="num" w:pos="6548"/>
        </w:tabs>
        <w:ind w:left="6548" w:hanging="360"/>
      </w:pPr>
      <w:rPr>
        <w:rFonts w:cs="Times New Roman"/>
      </w:rPr>
    </w:lvl>
    <w:lvl w:ilvl="8" w:tentative="1">
      <w:start w:val="1"/>
      <w:numFmt w:val="lowerRoman"/>
      <w:lvlText w:val="%9."/>
      <w:lvlJc w:val="right"/>
      <w:pPr>
        <w:tabs>
          <w:tab w:val="num" w:pos="7268"/>
        </w:tabs>
        <w:ind w:left="7268" w:hanging="180"/>
      </w:pPr>
      <w:rPr>
        <w:rFonts w:cs="Times New Roman"/>
      </w:rPr>
    </w:lvl>
  </w:abstractNum>
  <w:abstractNum w:abstractNumId="24">
    <w:nsid w:val="56C63258"/>
    <w:multiLevelType w:val="singleLevel"/>
    <w:tmpl w:val="5052CF6E"/>
    <w:lvl w:ilvl="0">
      <w:start w:val="2"/>
      <w:numFmt w:val="lowerRoman"/>
      <w:lvlText w:val="%1)"/>
      <w:legacy w:legacy="1" w:legacySpace="0" w:legacyIndent="533"/>
      <w:lvlJc w:val="left"/>
      <w:rPr>
        <w:rFonts w:ascii="Times New Roman" w:hAnsi="Times New Roman" w:cs="Times New Roman" w:hint="default"/>
      </w:rPr>
    </w:lvl>
  </w:abstractNum>
  <w:abstractNum w:abstractNumId="25">
    <w:nsid w:val="59FF4642"/>
    <w:multiLevelType w:val="singleLevel"/>
    <w:tmpl w:val="3594C638"/>
    <w:lvl w:ilvl="0">
      <w:start w:val="23"/>
      <w:numFmt w:val="decimal"/>
      <w:lvlText w:val="%1."/>
      <w:legacy w:legacy="1" w:legacySpace="0" w:legacyIndent="1392"/>
      <w:lvlJc w:val="left"/>
      <w:rPr>
        <w:rFonts w:ascii="Times New Roman" w:hAnsi="Times New Roman" w:cs="Times New Roman" w:hint="default"/>
      </w:rPr>
    </w:lvl>
  </w:abstractNum>
  <w:abstractNum w:abstractNumId="26">
    <w:nsid w:val="5AEE217F"/>
    <w:multiLevelType w:val="singleLevel"/>
    <w:tmpl w:val="5644F156"/>
    <w:lvl w:ilvl="0">
      <w:start w:val="37"/>
      <w:numFmt w:val="decimal"/>
      <w:lvlText w:val="%1."/>
      <w:legacy w:legacy="1" w:legacySpace="0" w:legacyIndent="739"/>
      <w:lvlJc w:val="left"/>
      <w:rPr>
        <w:rFonts w:ascii="Times New Roman" w:hAnsi="Times New Roman" w:cs="Times New Roman" w:hint="default"/>
      </w:rPr>
    </w:lvl>
  </w:abstractNum>
  <w:abstractNum w:abstractNumId="27">
    <w:nsid w:val="5C9F7A25"/>
    <w:multiLevelType w:val="singleLevel"/>
    <w:tmpl w:val="6A90AFB6"/>
    <w:lvl w:ilvl="0">
      <w:start w:val="1"/>
      <w:numFmt w:val="lowerRoman"/>
      <w:lvlText w:val="%1)"/>
      <w:legacy w:legacy="1" w:legacySpace="0" w:legacyIndent="538"/>
      <w:lvlJc w:val="left"/>
      <w:rPr>
        <w:rFonts w:ascii="Times New Roman" w:hAnsi="Times New Roman" w:cs="Times New Roman" w:hint="default"/>
      </w:rPr>
    </w:lvl>
  </w:abstractNum>
  <w:abstractNum w:abstractNumId="28">
    <w:nsid w:val="5EFC30CF"/>
    <w:multiLevelType w:val="hybridMultilevel"/>
    <w:tmpl w:val="44DAC3B6"/>
    <w:lvl w:ilvl="0">
      <w:start w:val="1"/>
      <w:numFmt w:val="decimal"/>
      <w:lvlText w:val="%1."/>
      <w:lvlJc w:val="left"/>
      <w:pPr>
        <w:tabs>
          <w:tab w:val="num" w:pos="360"/>
        </w:tabs>
        <w:ind w:left="360" w:hanging="360"/>
      </w:pPr>
      <w:rPr>
        <w:rFonts w:cs="Times New Roman"/>
      </w:rPr>
    </w:lvl>
    <w:lvl w:ilvl="1" w:tentative="1">
      <w:start w:val="1"/>
      <w:numFmt w:val="lowerLetter"/>
      <w:lvlText w:val="%2."/>
      <w:lvlJc w:val="left"/>
      <w:pPr>
        <w:tabs>
          <w:tab w:val="num" w:pos="1080"/>
        </w:tabs>
        <w:ind w:left="1080" w:hanging="360"/>
      </w:pPr>
      <w:rPr>
        <w:rFonts w:cs="Times New Roman"/>
      </w:rPr>
    </w:lvl>
    <w:lvl w:ilvl="2" w:tentative="1">
      <w:start w:val="1"/>
      <w:numFmt w:val="lowerRoman"/>
      <w:lvlText w:val="%3."/>
      <w:lvlJc w:val="right"/>
      <w:pPr>
        <w:tabs>
          <w:tab w:val="num" w:pos="1800"/>
        </w:tabs>
        <w:ind w:left="1800" w:hanging="18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lowerLetter"/>
      <w:lvlText w:val="%5."/>
      <w:lvlJc w:val="left"/>
      <w:pPr>
        <w:tabs>
          <w:tab w:val="num" w:pos="3240"/>
        </w:tabs>
        <w:ind w:left="3240" w:hanging="360"/>
      </w:pPr>
      <w:rPr>
        <w:rFonts w:cs="Times New Roman"/>
      </w:rPr>
    </w:lvl>
    <w:lvl w:ilvl="5" w:tentative="1">
      <w:start w:val="1"/>
      <w:numFmt w:val="lowerRoman"/>
      <w:lvlText w:val="%6."/>
      <w:lvlJc w:val="right"/>
      <w:pPr>
        <w:tabs>
          <w:tab w:val="num" w:pos="3960"/>
        </w:tabs>
        <w:ind w:left="3960" w:hanging="18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lowerLetter"/>
      <w:lvlText w:val="%8."/>
      <w:lvlJc w:val="left"/>
      <w:pPr>
        <w:tabs>
          <w:tab w:val="num" w:pos="5400"/>
        </w:tabs>
        <w:ind w:left="5400" w:hanging="360"/>
      </w:pPr>
      <w:rPr>
        <w:rFonts w:cs="Times New Roman"/>
      </w:rPr>
    </w:lvl>
    <w:lvl w:ilvl="8" w:tentative="1">
      <w:start w:val="1"/>
      <w:numFmt w:val="lowerRoman"/>
      <w:lvlText w:val="%9."/>
      <w:lvlJc w:val="right"/>
      <w:pPr>
        <w:tabs>
          <w:tab w:val="num" w:pos="6120"/>
        </w:tabs>
        <w:ind w:left="6120" w:hanging="180"/>
      </w:pPr>
      <w:rPr>
        <w:rFonts w:cs="Times New Roman"/>
      </w:rPr>
    </w:lvl>
  </w:abstractNum>
  <w:abstractNum w:abstractNumId="29">
    <w:nsid w:val="620937D4"/>
    <w:multiLevelType w:val="singleLevel"/>
    <w:tmpl w:val="DFC401CA"/>
    <w:lvl w:ilvl="0">
      <w:start w:val="6"/>
      <w:numFmt w:val="lowerRoman"/>
      <w:lvlText w:val="%1)"/>
      <w:legacy w:legacy="1" w:legacySpace="0" w:legacyIndent="538"/>
      <w:lvlJc w:val="left"/>
      <w:rPr>
        <w:rFonts w:ascii="Times New Roman" w:hAnsi="Times New Roman" w:cs="Times New Roman" w:hint="default"/>
      </w:rPr>
    </w:lvl>
  </w:abstractNum>
  <w:abstractNum w:abstractNumId="30">
    <w:nsid w:val="685421C0"/>
    <w:multiLevelType w:val="singleLevel"/>
    <w:tmpl w:val="E0D864AA"/>
    <w:lvl w:ilvl="0">
      <w:start w:val="31"/>
      <w:numFmt w:val="decimal"/>
      <w:lvlText w:val="%1."/>
      <w:legacy w:legacy="1" w:legacySpace="0" w:legacyIndent="715"/>
      <w:lvlJc w:val="left"/>
      <w:rPr>
        <w:rFonts w:ascii="Times New Roman" w:hAnsi="Times New Roman" w:cs="Times New Roman" w:hint="default"/>
      </w:rPr>
    </w:lvl>
  </w:abstractNum>
  <w:abstractNum w:abstractNumId="31">
    <w:nsid w:val="6B601B9C"/>
    <w:multiLevelType w:val="singleLevel"/>
    <w:tmpl w:val="D1D8D498"/>
    <w:lvl w:ilvl="0">
      <w:start w:val="14"/>
      <w:numFmt w:val="decimal"/>
      <w:lvlText w:val="%1."/>
      <w:legacy w:legacy="1" w:legacySpace="0" w:legacyIndent="667"/>
      <w:lvlJc w:val="left"/>
      <w:rPr>
        <w:rFonts w:ascii="Times New Roman" w:hAnsi="Times New Roman" w:cs="Times New Roman" w:hint="default"/>
      </w:rPr>
    </w:lvl>
  </w:abstractNum>
  <w:abstractNum w:abstractNumId="32">
    <w:nsid w:val="6FFE413C"/>
    <w:multiLevelType w:val="multilevel"/>
    <w:tmpl w:val="FC90E6EE"/>
    <w:lvl w:ilvl="0">
      <w:start w:val="1"/>
      <w:numFmt w:val="decimal"/>
      <w:lvlText w:val="%1."/>
      <w:lvlJc w:val="left"/>
      <w:pPr>
        <w:tabs>
          <w:tab w:val="num" w:pos="360"/>
        </w:tabs>
        <w:ind w:left="360" w:hanging="360"/>
      </w:pPr>
    </w:lvl>
    <w:lvl w:ilvl="1">
      <w:start w:val="1"/>
      <w:numFmt w:val="lowerRoman"/>
      <w:lvlText w:val="%2."/>
      <w:lvlJc w:val="right"/>
      <w:pPr>
        <w:tabs>
          <w:tab w:val="num" w:pos="900"/>
        </w:tabs>
        <w:ind w:left="900" w:hanging="18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nsid w:val="74D432EF"/>
    <w:multiLevelType w:val="singleLevel"/>
    <w:tmpl w:val="5C849246"/>
    <w:lvl w:ilvl="0">
      <w:start w:val="6"/>
      <w:numFmt w:val="decimal"/>
      <w:lvlText w:val="%1."/>
      <w:legacy w:legacy="1" w:legacySpace="0" w:legacyIndent="715"/>
      <w:lvlJc w:val="left"/>
      <w:rPr>
        <w:rFonts w:ascii="Times New Roman" w:hAnsi="Times New Roman" w:cs="Times New Roman" w:hint="default"/>
      </w:rPr>
    </w:lvl>
  </w:abstractNum>
  <w:abstractNum w:abstractNumId="34">
    <w:nsid w:val="772341C3"/>
    <w:multiLevelType w:val="singleLevel"/>
    <w:tmpl w:val="3F06312A"/>
    <w:lvl w:ilvl="0">
      <w:start w:val="1"/>
      <w:numFmt w:val="decimal"/>
      <w:lvlText w:val="%1."/>
      <w:legacy w:legacy="1" w:legacySpace="0" w:legacyIndent="696"/>
      <w:lvlJc w:val="left"/>
      <w:rPr>
        <w:rFonts w:ascii="Times New Roman" w:hAnsi="Times New Roman" w:cs="Times New Roman" w:hint="default"/>
      </w:rPr>
    </w:lvl>
  </w:abstractNum>
  <w:abstractNum w:abstractNumId="35">
    <w:nsid w:val="77EC5BDA"/>
    <w:multiLevelType w:val="hybridMultilevel"/>
    <w:tmpl w:val="E528EC9A"/>
    <w:lvl w:ilvl="0">
      <w:start w:val="2"/>
      <w:numFmt w:val="lowerRoman"/>
      <w:lvlText w:val="%1)"/>
      <w:legacy w:legacy="1" w:legacySpace="0" w:legacyIndent="533"/>
      <w:lvlJc w:val="left"/>
      <w:rPr>
        <w:rFonts w:ascii="Times New Roman" w:hAnsi="Times New Roman" w:cs="Times New Roman" w:hint="default"/>
      </w:rPr>
    </w:lvl>
    <w:lvl w:ilvl="1" w:tentative="1">
      <w:start w:val="1"/>
      <w:numFmt w:val="lowerLetter"/>
      <w:lvlText w:val="%2."/>
      <w:lvlJc w:val="left"/>
      <w:pPr>
        <w:tabs>
          <w:tab w:val="num" w:pos="3054"/>
        </w:tabs>
        <w:ind w:left="3054" w:hanging="360"/>
      </w:pPr>
      <w:rPr>
        <w:rFonts w:cs="Times New Roman"/>
      </w:rPr>
    </w:lvl>
    <w:lvl w:ilvl="2" w:tentative="1">
      <w:start w:val="1"/>
      <w:numFmt w:val="lowerRoman"/>
      <w:lvlText w:val="%3."/>
      <w:lvlJc w:val="right"/>
      <w:pPr>
        <w:tabs>
          <w:tab w:val="num" w:pos="3774"/>
        </w:tabs>
        <w:ind w:left="3774" w:hanging="180"/>
      </w:pPr>
      <w:rPr>
        <w:rFonts w:cs="Times New Roman"/>
      </w:rPr>
    </w:lvl>
    <w:lvl w:ilvl="3" w:tentative="1">
      <w:start w:val="1"/>
      <w:numFmt w:val="decimal"/>
      <w:lvlText w:val="%4."/>
      <w:lvlJc w:val="left"/>
      <w:pPr>
        <w:tabs>
          <w:tab w:val="num" w:pos="4494"/>
        </w:tabs>
        <w:ind w:left="4494" w:hanging="360"/>
      </w:pPr>
      <w:rPr>
        <w:rFonts w:cs="Times New Roman"/>
      </w:rPr>
    </w:lvl>
    <w:lvl w:ilvl="4" w:tentative="1">
      <w:start w:val="1"/>
      <w:numFmt w:val="lowerLetter"/>
      <w:lvlText w:val="%5."/>
      <w:lvlJc w:val="left"/>
      <w:pPr>
        <w:tabs>
          <w:tab w:val="num" w:pos="5214"/>
        </w:tabs>
        <w:ind w:left="5214" w:hanging="360"/>
      </w:pPr>
      <w:rPr>
        <w:rFonts w:cs="Times New Roman"/>
      </w:rPr>
    </w:lvl>
    <w:lvl w:ilvl="5" w:tentative="1">
      <w:start w:val="1"/>
      <w:numFmt w:val="lowerRoman"/>
      <w:lvlText w:val="%6."/>
      <w:lvlJc w:val="right"/>
      <w:pPr>
        <w:tabs>
          <w:tab w:val="num" w:pos="5934"/>
        </w:tabs>
        <w:ind w:left="5934" w:hanging="180"/>
      </w:pPr>
      <w:rPr>
        <w:rFonts w:cs="Times New Roman"/>
      </w:rPr>
    </w:lvl>
    <w:lvl w:ilvl="6" w:tentative="1">
      <w:start w:val="1"/>
      <w:numFmt w:val="decimal"/>
      <w:lvlText w:val="%7."/>
      <w:lvlJc w:val="left"/>
      <w:pPr>
        <w:tabs>
          <w:tab w:val="num" w:pos="6654"/>
        </w:tabs>
        <w:ind w:left="6654" w:hanging="360"/>
      </w:pPr>
      <w:rPr>
        <w:rFonts w:cs="Times New Roman"/>
      </w:rPr>
    </w:lvl>
    <w:lvl w:ilvl="7" w:tentative="1">
      <w:start w:val="1"/>
      <w:numFmt w:val="lowerLetter"/>
      <w:lvlText w:val="%8."/>
      <w:lvlJc w:val="left"/>
      <w:pPr>
        <w:tabs>
          <w:tab w:val="num" w:pos="7374"/>
        </w:tabs>
        <w:ind w:left="7374" w:hanging="360"/>
      </w:pPr>
      <w:rPr>
        <w:rFonts w:cs="Times New Roman"/>
      </w:rPr>
    </w:lvl>
    <w:lvl w:ilvl="8" w:tentative="1">
      <w:start w:val="1"/>
      <w:numFmt w:val="lowerRoman"/>
      <w:lvlText w:val="%9."/>
      <w:lvlJc w:val="right"/>
      <w:pPr>
        <w:tabs>
          <w:tab w:val="num" w:pos="8094"/>
        </w:tabs>
        <w:ind w:left="8094" w:hanging="180"/>
      </w:pPr>
      <w:rPr>
        <w:rFonts w:cs="Times New Roman"/>
      </w:rPr>
    </w:lvl>
  </w:abstractNum>
  <w:abstractNum w:abstractNumId="36">
    <w:nsid w:val="78BE60CF"/>
    <w:multiLevelType w:val="singleLevel"/>
    <w:tmpl w:val="6E82F9E6"/>
    <w:lvl w:ilvl="0">
      <w:start w:val="26"/>
      <w:numFmt w:val="decimal"/>
      <w:lvlText w:val="%1."/>
      <w:legacy w:legacy="1" w:legacySpace="0" w:legacyIndent="710"/>
      <w:lvlJc w:val="left"/>
      <w:rPr>
        <w:rFonts w:ascii="Times New Roman" w:hAnsi="Times New Roman" w:cs="Times New Roman" w:hint="default"/>
      </w:rPr>
    </w:lvl>
  </w:abstractNum>
  <w:abstractNum w:abstractNumId="37">
    <w:nsid w:val="7D434376"/>
    <w:multiLevelType w:val="singleLevel"/>
    <w:tmpl w:val="6A90AFB6"/>
    <w:lvl w:ilvl="0">
      <w:start w:val="1"/>
      <w:numFmt w:val="lowerRoman"/>
      <w:lvlText w:val="%1)"/>
      <w:legacy w:legacy="1" w:legacySpace="0" w:legacyIndent="538"/>
      <w:lvlJc w:val="left"/>
      <w:rPr>
        <w:rFonts w:ascii="Times New Roman" w:hAnsi="Times New Roman" w:cs="Times New Roman" w:hint="default"/>
      </w:rPr>
    </w:lvl>
  </w:abstractNum>
  <w:abstractNum w:abstractNumId="38">
    <w:nsid w:val="7F1945DB"/>
    <w:multiLevelType w:val="singleLevel"/>
    <w:tmpl w:val="6DE0BAEC"/>
    <w:lvl w:ilvl="0">
      <w:start w:val="7"/>
      <w:numFmt w:val="decimal"/>
      <w:lvlText w:val="%1."/>
      <w:legacy w:legacy="1" w:legacySpace="0" w:legacyIndent="1387"/>
      <w:lvlJc w:val="left"/>
      <w:rPr>
        <w:rFonts w:ascii="Times New Roman" w:hAnsi="Times New Roman" w:cs="Times New Roman" w:hint="default"/>
      </w:rPr>
    </w:lvl>
  </w:abstractNum>
  <w:abstractNum w:abstractNumId="39">
    <w:nsid w:val="7FBD5BE3"/>
    <w:multiLevelType w:val="multilevel"/>
    <w:tmpl w:val="B7165766"/>
    <w:lvl w:ilvl="0">
      <w:start w:val="1"/>
      <w:numFmt w:val="lowerRoman"/>
      <w:lvlText w:val="(%1)"/>
      <w:lvlJc w:val="left"/>
      <w:pPr>
        <w:tabs>
          <w:tab w:val="num" w:pos="1508"/>
        </w:tabs>
        <w:ind w:left="1508" w:hanging="720"/>
      </w:pPr>
      <w:rPr>
        <w:rFonts w:cs="Times New Roman" w:hint="default"/>
      </w:rPr>
    </w:lvl>
    <w:lvl w:ilvl="1">
      <w:start w:val="1"/>
      <w:numFmt w:val="lowerLetter"/>
      <w:lvlText w:val="%2."/>
      <w:lvlJc w:val="left"/>
      <w:pPr>
        <w:tabs>
          <w:tab w:val="num" w:pos="1868"/>
        </w:tabs>
        <w:ind w:left="1868" w:hanging="360"/>
      </w:pPr>
      <w:rPr>
        <w:rFonts w:cs="Times New Roman"/>
      </w:rPr>
    </w:lvl>
    <w:lvl w:ilvl="2">
      <w:start w:val="1"/>
      <w:numFmt w:val="lowerRoman"/>
      <w:lvlText w:val="%3."/>
      <w:lvlJc w:val="right"/>
      <w:pPr>
        <w:tabs>
          <w:tab w:val="num" w:pos="2588"/>
        </w:tabs>
        <w:ind w:left="2588" w:hanging="180"/>
      </w:pPr>
      <w:rPr>
        <w:rFonts w:cs="Times New Roman"/>
      </w:rPr>
    </w:lvl>
    <w:lvl w:ilvl="3">
      <w:start w:val="1"/>
      <w:numFmt w:val="decimal"/>
      <w:lvlText w:val="%4."/>
      <w:lvlJc w:val="left"/>
      <w:pPr>
        <w:tabs>
          <w:tab w:val="num" w:pos="3308"/>
        </w:tabs>
        <w:ind w:left="3308" w:hanging="360"/>
      </w:pPr>
      <w:rPr>
        <w:rFonts w:cs="Times New Roman"/>
      </w:rPr>
    </w:lvl>
    <w:lvl w:ilvl="4">
      <w:start w:val="1"/>
      <w:numFmt w:val="lowerLetter"/>
      <w:lvlText w:val="%5."/>
      <w:lvlJc w:val="left"/>
      <w:pPr>
        <w:tabs>
          <w:tab w:val="num" w:pos="4028"/>
        </w:tabs>
        <w:ind w:left="4028" w:hanging="360"/>
      </w:pPr>
      <w:rPr>
        <w:rFonts w:cs="Times New Roman"/>
      </w:rPr>
    </w:lvl>
    <w:lvl w:ilvl="5">
      <w:start w:val="1"/>
      <w:numFmt w:val="lowerRoman"/>
      <w:lvlText w:val="%6."/>
      <w:lvlJc w:val="right"/>
      <w:pPr>
        <w:tabs>
          <w:tab w:val="num" w:pos="4748"/>
        </w:tabs>
        <w:ind w:left="4748" w:hanging="180"/>
      </w:pPr>
      <w:rPr>
        <w:rFonts w:cs="Times New Roman"/>
      </w:rPr>
    </w:lvl>
    <w:lvl w:ilvl="6">
      <w:start w:val="1"/>
      <w:numFmt w:val="decimal"/>
      <w:lvlText w:val="%7."/>
      <w:lvlJc w:val="left"/>
      <w:pPr>
        <w:tabs>
          <w:tab w:val="num" w:pos="5468"/>
        </w:tabs>
        <w:ind w:left="5468" w:hanging="360"/>
      </w:pPr>
      <w:rPr>
        <w:rFonts w:cs="Times New Roman"/>
      </w:rPr>
    </w:lvl>
    <w:lvl w:ilvl="7">
      <w:start w:val="1"/>
      <w:numFmt w:val="lowerLetter"/>
      <w:lvlText w:val="%8."/>
      <w:lvlJc w:val="left"/>
      <w:pPr>
        <w:tabs>
          <w:tab w:val="num" w:pos="6188"/>
        </w:tabs>
        <w:ind w:left="6188" w:hanging="360"/>
      </w:pPr>
      <w:rPr>
        <w:rFonts w:cs="Times New Roman"/>
      </w:rPr>
    </w:lvl>
    <w:lvl w:ilvl="8">
      <w:start w:val="1"/>
      <w:numFmt w:val="lowerRoman"/>
      <w:lvlText w:val="%9."/>
      <w:lvlJc w:val="right"/>
      <w:pPr>
        <w:tabs>
          <w:tab w:val="num" w:pos="6908"/>
        </w:tabs>
        <w:ind w:left="6908" w:hanging="180"/>
      </w:pPr>
      <w:rPr>
        <w:rFonts w:cs="Times New Roman"/>
      </w:rPr>
    </w:lvl>
  </w:abstractNum>
  <w:num w:numId="1">
    <w:abstractNumId w:val="1"/>
  </w:num>
  <w:num w:numId="2">
    <w:abstractNumId w:val="27"/>
  </w:num>
  <w:num w:numId="3">
    <w:abstractNumId w:val="16"/>
  </w:num>
  <w:num w:numId="4">
    <w:abstractNumId w:val="33"/>
  </w:num>
  <w:num w:numId="5">
    <w:abstractNumId w:val="5"/>
  </w:num>
  <w:num w:numId="6">
    <w:abstractNumId w:val="31"/>
  </w:num>
  <w:num w:numId="7">
    <w:abstractNumId w:val="13"/>
  </w:num>
  <w:num w:numId="8">
    <w:abstractNumId w:val="29"/>
  </w:num>
  <w:num w:numId="9">
    <w:abstractNumId w:val="2"/>
  </w:num>
  <w:num w:numId="10">
    <w:abstractNumId w:val="2"/>
    <w:lvlOverride w:ilvl="0">
      <w:lvl w:ilvl="0">
        <w:start w:val="19"/>
        <w:numFmt w:val="decimal"/>
        <w:lvlText w:val="%1."/>
        <w:legacy w:legacy="1" w:legacySpace="0" w:legacyIndent="686"/>
        <w:lvlJc w:val="left"/>
        <w:rPr>
          <w:rFonts w:ascii="Times New Roman" w:hAnsi="Times New Roman" w:cs="Times New Roman" w:hint="default"/>
        </w:rPr>
      </w:lvl>
    </w:lvlOverride>
  </w:num>
  <w:num w:numId="11">
    <w:abstractNumId w:val="37"/>
  </w:num>
  <w:num w:numId="12">
    <w:abstractNumId w:val="12"/>
  </w:num>
  <w:num w:numId="13">
    <w:abstractNumId w:val="36"/>
  </w:num>
  <w:num w:numId="14">
    <w:abstractNumId w:val="17"/>
  </w:num>
  <w:num w:numId="15">
    <w:abstractNumId w:val="8"/>
  </w:num>
  <w:num w:numId="16">
    <w:abstractNumId w:val="30"/>
  </w:num>
  <w:num w:numId="17">
    <w:abstractNumId w:val="30"/>
    <w:lvlOverride w:ilvl="0">
      <w:lvl w:ilvl="0">
        <w:start w:val="32"/>
        <w:numFmt w:val="decimal"/>
        <w:lvlText w:val="%1."/>
        <w:legacy w:legacy="1" w:legacySpace="0" w:legacyIndent="720"/>
        <w:lvlJc w:val="left"/>
        <w:rPr>
          <w:rFonts w:ascii="Times New Roman" w:hAnsi="Times New Roman" w:cs="Times New Roman" w:hint="default"/>
        </w:rPr>
      </w:lvl>
    </w:lvlOverride>
  </w:num>
  <w:num w:numId="18">
    <w:abstractNumId w:val="11"/>
  </w:num>
  <w:num w:numId="19">
    <w:abstractNumId w:val="24"/>
  </w:num>
  <w:num w:numId="20">
    <w:abstractNumId w:val="15"/>
  </w:num>
  <w:num w:numId="21">
    <w:abstractNumId w:val="26"/>
  </w:num>
  <w:num w:numId="22">
    <w:abstractNumId w:val="26"/>
    <w:lvlOverride w:ilvl="0">
      <w:lvl w:ilvl="0">
        <w:start w:val="40"/>
        <w:numFmt w:val="decimal"/>
        <w:lvlText w:val="%1."/>
        <w:legacy w:legacy="1" w:legacySpace="0" w:legacyIndent="720"/>
        <w:lvlJc w:val="left"/>
        <w:rPr>
          <w:rFonts w:ascii="Times New Roman" w:hAnsi="Times New Roman" w:cs="Times New Roman" w:hint="default"/>
        </w:rPr>
      </w:lvl>
    </w:lvlOverride>
  </w:num>
  <w:num w:numId="23">
    <w:abstractNumId w:val="7"/>
  </w:num>
  <w:num w:numId="24">
    <w:abstractNumId w:val="7"/>
    <w:lvlOverride w:ilvl="0">
      <w:lvl w:ilvl="0">
        <w:start w:val="45"/>
        <w:numFmt w:val="decimal"/>
        <w:lvlText w:val="%1."/>
        <w:legacy w:legacy="1" w:legacySpace="0" w:legacyIndent="701"/>
        <w:lvlJc w:val="left"/>
        <w:rPr>
          <w:rFonts w:ascii="Times New Roman" w:hAnsi="Times New Roman" w:cs="Times New Roman" w:hint="default"/>
        </w:rPr>
      </w:lvl>
    </w:lvlOverride>
  </w:num>
  <w:num w:numId="25">
    <w:abstractNumId w:val="22"/>
  </w:num>
  <w:num w:numId="26">
    <w:abstractNumId w:val="22"/>
    <w:lvlOverride w:ilvl="0">
      <w:lvl w:ilvl="0">
        <w:start w:val="51"/>
        <w:numFmt w:val="decimal"/>
        <w:lvlText w:val="%1."/>
        <w:legacy w:legacy="1" w:legacySpace="0" w:legacyIndent="720"/>
        <w:lvlJc w:val="left"/>
        <w:rPr>
          <w:rFonts w:ascii="Times New Roman" w:hAnsi="Times New Roman" w:cs="Times New Roman" w:hint="default"/>
        </w:rPr>
      </w:lvl>
    </w:lvlOverride>
  </w:num>
  <w:num w:numId="27">
    <w:abstractNumId w:val="10"/>
  </w:num>
  <w:num w:numId="28">
    <w:abstractNumId w:val="38"/>
  </w:num>
  <w:num w:numId="29">
    <w:abstractNumId w:val="20"/>
  </w:num>
  <w:num w:numId="30">
    <w:abstractNumId w:val="20"/>
    <w:lvlOverride w:ilvl="0">
      <w:lvl w:ilvl="0">
        <w:start w:val="16"/>
        <w:numFmt w:val="decimal"/>
        <w:lvlText w:val="%1."/>
        <w:legacy w:legacy="1" w:legacySpace="0" w:legacyIndent="1402"/>
        <w:lvlJc w:val="left"/>
        <w:rPr>
          <w:rFonts w:ascii="Times New Roman" w:hAnsi="Times New Roman" w:cs="Times New Roman" w:hint="default"/>
        </w:rPr>
      </w:lvl>
    </w:lvlOverride>
  </w:num>
  <w:num w:numId="31">
    <w:abstractNumId w:val="25"/>
  </w:num>
  <w:num w:numId="32">
    <w:abstractNumId w:val="34"/>
  </w:num>
  <w:num w:numId="33">
    <w:abstractNumId w:val="21"/>
  </w:num>
  <w:num w:numId="34">
    <w:abstractNumId w:val="35"/>
  </w:num>
  <w:num w:numId="35">
    <w:abstractNumId w:val="18"/>
  </w:num>
  <w:num w:numId="36">
    <w:abstractNumId w:val="19"/>
  </w:num>
  <w:num w:numId="37">
    <w:abstractNumId w:val="4"/>
  </w:num>
  <w:num w:numId="38">
    <w:abstractNumId w:val="6"/>
  </w:num>
  <w:num w:numId="39">
    <w:abstractNumId w:val="23"/>
  </w:num>
  <w:num w:numId="40">
    <w:abstractNumId w:val="14"/>
  </w:num>
  <w:num w:numId="41">
    <w:abstractNumId w:val="39"/>
  </w:num>
  <w:num w:numId="42">
    <w:abstractNumId w:val="28"/>
  </w:num>
  <w:num w:numId="43">
    <w:abstractNumId w:val="3"/>
  </w:num>
  <w:num w:numId="44">
    <w:abstractNumId w:val="9"/>
  </w:num>
  <w:num w:numId="45">
    <w:abstractNumId w:val="32"/>
  </w:num>
  <w:num w:numId="46">
    <w:abstractNumId w:val="0"/>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
  <w:rsids>
    <w:rsidRoot w:val="00B36BC0"/>
    <w:rsid w:val="000877F2"/>
    <w:rsid w:val="00087E40"/>
    <w:rsid w:val="000C17C1"/>
    <w:rsid w:val="001247FD"/>
    <w:rsid w:val="00273F1B"/>
    <w:rsid w:val="00315914"/>
    <w:rsid w:val="00444985"/>
    <w:rsid w:val="00466262"/>
    <w:rsid w:val="005356DB"/>
    <w:rsid w:val="00585C61"/>
    <w:rsid w:val="006411A4"/>
    <w:rsid w:val="006830AD"/>
    <w:rsid w:val="006F5C3C"/>
    <w:rsid w:val="00700BC0"/>
    <w:rsid w:val="0076311D"/>
    <w:rsid w:val="00775BEE"/>
    <w:rsid w:val="0083455C"/>
    <w:rsid w:val="008756E0"/>
    <w:rsid w:val="008C6FEE"/>
    <w:rsid w:val="008D7DDC"/>
    <w:rsid w:val="00915E8A"/>
    <w:rsid w:val="00945803"/>
    <w:rsid w:val="00984E5F"/>
    <w:rsid w:val="00A930E4"/>
    <w:rsid w:val="00A96026"/>
    <w:rsid w:val="00AF63E2"/>
    <w:rsid w:val="00BC246F"/>
    <w:rsid w:val="00BF4DC9"/>
    <w:rsid w:val="00C66C46"/>
    <w:rsid w:val="00D00205"/>
    <w:rsid w:val="00E125EA"/>
    <w:rsid w:val="00EC29C6"/>
    <w:rsid w:val="00ED4EC1"/>
    <w:rsid w:val="00EF4B60"/>
    <w:rsid w:val="00F364F3"/>
    <w:rsid w:val="00F51C52"/>
    <w:rsid w:val="00FA6D55"/>
    <w:rsid w:val="00FB195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sz w:val="24"/>
      <w:szCs w:val="24"/>
      <w:lang w:val="es-ES"/>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1">
    <w:name w:val="Style1"/>
    <w:basedOn w:val="Normal"/>
    <w:pPr>
      <w:spacing w:line="221" w:lineRule="exact"/>
      <w:ind w:hanging="638"/>
    </w:pPr>
  </w:style>
  <w:style w:type="paragraph" w:customStyle="1" w:styleId="Style2">
    <w:name w:val="Style2"/>
    <w:basedOn w:val="Normal"/>
    <w:pPr>
      <w:spacing w:line="274" w:lineRule="exact"/>
      <w:jc w:val="center"/>
    </w:pPr>
  </w:style>
  <w:style w:type="paragraph" w:customStyle="1" w:styleId="Style3">
    <w:name w:val="Style3"/>
    <w:basedOn w:val="Normal"/>
  </w:style>
  <w:style w:type="paragraph" w:customStyle="1" w:styleId="Style4">
    <w:name w:val="Style4"/>
    <w:basedOn w:val="Normal"/>
  </w:style>
  <w:style w:type="paragraph" w:customStyle="1" w:styleId="Style5">
    <w:name w:val="Style5"/>
    <w:basedOn w:val="Normal"/>
  </w:style>
  <w:style w:type="paragraph" w:customStyle="1" w:styleId="Style6">
    <w:name w:val="Style6"/>
    <w:basedOn w:val="Normal"/>
    <w:pPr>
      <w:spacing w:line="412" w:lineRule="exact"/>
      <w:ind w:hanging="715"/>
    </w:pPr>
  </w:style>
  <w:style w:type="paragraph" w:customStyle="1" w:styleId="Style7">
    <w:name w:val="Style7"/>
    <w:basedOn w:val="Normal"/>
  </w:style>
  <w:style w:type="paragraph" w:customStyle="1" w:styleId="Style8">
    <w:name w:val="Style8"/>
    <w:basedOn w:val="Normal"/>
    <w:pPr>
      <w:spacing w:line="412" w:lineRule="exact"/>
    </w:pPr>
  </w:style>
  <w:style w:type="paragraph" w:customStyle="1" w:styleId="Style9">
    <w:name w:val="Style9"/>
    <w:basedOn w:val="Normal"/>
    <w:pPr>
      <w:jc w:val="both"/>
    </w:pPr>
  </w:style>
  <w:style w:type="paragraph" w:customStyle="1" w:styleId="Style10">
    <w:name w:val="Style10"/>
    <w:basedOn w:val="Normal"/>
    <w:pPr>
      <w:spacing w:line="365" w:lineRule="exact"/>
    </w:pPr>
  </w:style>
  <w:style w:type="paragraph" w:customStyle="1" w:styleId="Style11">
    <w:name w:val="Style11"/>
    <w:basedOn w:val="Normal"/>
    <w:pPr>
      <w:spacing w:line="411" w:lineRule="exact"/>
      <w:ind w:hanging="538"/>
    </w:pPr>
  </w:style>
  <w:style w:type="paragraph" w:customStyle="1" w:styleId="Style12">
    <w:name w:val="Style12"/>
    <w:basedOn w:val="Normal"/>
    <w:pPr>
      <w:spacing w:line="413" w:lineRule="exact"/>
      <w:jc w:val="both"/>
    </w:pPr>
  </w:style>
  <w:style w:type="paragraph" w:customStyle="1" w:styleId="Style13">
    <w:name w:val="Style13"/>
    <w:basedOn w:val="Normal"/>
  </w:style>
  <w:style w:type="paragraph" w:customStyle="1" w:styleId="Style14">
    <w:name w:val="Style14"/>
    <w:basedOn w:val="Normal"/>
    <w:pPr>
      <w:jc w:val="center"/>
    </w:pPr>
  </w:style>
  <w:style w:type="paragraph" w:customStyle="1" w:styleId="Style15">
    <w:name w:val="Style15"/>
    <w:basedOn w:val="Normal"/>
    <w:pPr>
      <w:spacing w:line="408" w:lineRule="exact"/>
      <w:ind w:hanging="547"/>
    </w:pPr>
  </w:style>
  <w:style w:type="paragraph" w:customStyle="1" w:styleId="Style16">
    <w:name w:val="Style16"/>
    <w:basedOn w:val="Normal"/>
    <w:pPr>
      <w:spacing w:line="490" w:lineRule="exact"/>
    </w:pPr>
  </w:style>
  <w:style w:type="paragraph" w:customStyle="1" w:styleId="Style17">
    <w:name w:val="Style17"/>
    <w:basedOn w:val="Normal"/>
    <w:pPr>
      <w:spacing w:line="653" w:lineRule="exact"/>
      <w:ind w:firstLine="730"/>
    </w:pPr>
  </w:style>
  <w:style w:type="paragraph" w:customStyle="1" w:styleId="Style18">
    <w:name w:val="Style18"/>
    <w:basedOn w:val="Normal"/>
  </w:style>
  <w:style w:type="paragraph" w:customStyle="1" w:styleId="Style19">
    <w:name w:val="Style19"/>
    <w:basedOn w:val="Normal"/>
    <w:pPr>
      <w:spacing w:line="266" w:lineRule="exact"/>
      <w:ind w:hanging="682"/>
    </w:pPr>
  </w:style>
  <w:style w:type="paragraph" w:customStyle="1" w:styleId="Style20">
    <w:name w:val="Style20"/>
    <w:basedOn w:val="Normal"/>
    <w:pPr>
      <w:spacing w:line="175" w:lineRule="exact"/>
    </w:pPr>
  </w:style>
  <w:style w:type="paragraph" w:customStyle="1" w:styleId="Style21">
    <w:name w:val="Style21"/>
    <w:basedOn w:val="Normal"/>
    <w:pPr>
      <w:spacing w:line="302" w:lineRule="exact"/>
    </w:pPr>
  </w:style>
  <w:style w:type="paragraph" w:customStyle="1" w:styleId="Style22">
    <w:name w:val="Style22"/>
    <w:basedOn w:val="Normal"/>
    <w:pPr>
      <w:spacing w:line="245" w:lineRule="exact"/>
      <w:ind w:hanging="1512"/>
    </w:pPr>
  </w:style>
  <w:style w:type="paragraph" w:customStyle="1" w:styleId="Style23">
    <w:name w:val="Style23"/>
    <w:basedOn w:val="Normal"/>
  </w:style>
  <w:style w:type="paragraph" w:customStyle="1" w:styleId="Style24">
    <w:name w:val="Style24"/>
    <w:basedOn w:val="Normal"/>
    <w:pPr>
      <w:jc w:val="center"/>
    </w:pPr>
  </w:style>
  <w:style w:type="paragraph" w:customStyle="1" w:styleId="Style25">
    <w:name w:val="Style25"/>
    <w:basedOn w:val="Normal"/>
    <w:pPr>
      <w:spacing w:line="413" w:lineRule="exact"/>
      <w:ind w:hanging="701"/>
      <w:jc w:val="both"/>
    </w:pPr>
  </w:style>
  <w:style w:type="paragraph" w:customStyle="1" w:styleId="Style26">
    <w:name w:val="Style26"/>
    <w:basedOn w:val="Normal"/>
  </w:style>
  <w:style w:type="paragraph" w:customStyle="1" w:styleId="Style27">
    <w:name w:val="Style27"/>
    <w:basedOn w:val="Normal"/>
    <w:pPr>
      <w:spacing w:line="245" w:lineRule="exact"/>
      <w:ind w:firstLine="1368"/>
    </w:pPr>
  </w:style>
  <w:style w:type="paragraph" w:customStyle="1" w:styleId="Style28">
    <w:name w:val="Style28"/>
    <w:basedOn w:val="Normal"/>
  </w:style>
  <w:style w:type="paragraph" w:customStyle="1" w:styleId="Style29">
    <w:name w:val="Style29"/>
    <w:basedOn w:val="Normal"/>
    <w:pPr>
      <w:spacing w:line="226" w:lineRule="exact"/>
    </w:pPr>
  </w:style>
  <w:style w:type="paragraph" w:customStyle="1" w:styleId="Style30">
    <w:name w:val="Style30"/>
    <w:basedOn w:val="Normal"/>
    <w:pPr>
      <w:spacing w:line="264" w:lineRule="exact"/>
    </w:pPr>
  </w:style>
  <w:style w:type="paragraph" w:customStyle="1" w:styleId="Style31">
    <w:name w:val="Style31"/>
    <w:basedOn w:val="Normal"/>
  </w:style>
  <w:style w:type="paragraph" w:customStyle="1" w:styleId="Style32">
    <w:name w:val="Style32"/>
    <w:basedOn w:val="Normal"/>
  </w:style>
  <w:style w:type="paragraph" w:customStyle="1" w:styleId="Style33">
    <w:name w:val="Style33"/>
    <w:basedOn w:val="Normal"/>
    <w:pPr>
      <w:spacing w:line="244" w:lineRule="exact"/>
      <w:jc w:val="both"/>
    </w:pPr>
  </w:style>
  <w:style w:type="paragraph" w:customStyle="1" w:styleId="Style34">
    <w:name w:val="Style34"/>
    <w:basedOn w:val="Normal"/>
  </w:style>
  <w:style w:type="paragraph" w:customStyle="1" w:styleId="Style35">
    <w:name w:val="Style35"/>
    <w:basedOn w:val="Normal"/>
    <w:pPr>
      <w:jc w:val="both"/>
    </w:pPr>
  </w:style>
  <w:style w:type="paragraph" w:customStyle="1" w:styleId="Style36">
    <w:name w:val="Style36"/>
    <w:basedOn w:val="Normal"/>
    <w:pPr>
      <w:spacing w:line="225" w:lineRule="exact"/>
    </w:pPr>
  </w:style>
  <w:style w:type="paragraph" w:customStyle="1" w:styleId="Style37">
    <w:name w:val="Style37"/>
    <w:basedOn w:val="Normal"/>
    <w:pPr>
      <w:spacing w:line="415" w:lineRule="exact"/>
      <w:ind w:hanging="715"/>
    </w:pPr>
  </w:style>
  <w:style w:type="paragraph" w:customStyle="1" w:styleId="Style38">
    <w:name w:val="Style38"/>
    <w:basedOn w:val="Normal"/>
  </w:style>
  <w:style w:type="paragraph" w:customStyle="1" w:styleId="Style39">
    <w:name w:val="Style39"/>
    <w:basedOn w:val="Normal"/>
    <w:pPr>
      <w:spacing w:line="264" w:lineRule="exact"/>
      <w:jc w:val="both"/>
    </w:pPr>
  </w:style>
  <w:style w:type="paragraph" w:customStyle="1" w:styleId="Style40">
    <w:name w:val="Style40"/>
    <w:basedOn w:val="Normal"/>
  </w:style>
  <w:style w:type="paragraph" w:customStyle="1" w:styleId="Style41">
    <w:name w:val="Style41"/>
    <w:basedOn w:val="Normal"/>
  </w:style>
  <w:style w:type="paragraph" w:customStyle="1" w:styleId="Style42">
    <w:name w:val="Style42"/>
    <w:basedOn w:val="Normal"/>
  </w:style>
  <w:style w:type="paragraph" w:customStyle="1" w:styleId="Style43">
    <w:name w:val="Style43"/>
    <w:basedOn w:val="Normal"/>
  </w:style>
  <w:style w:type="paragraph" w:customStyle="1" w:styleId="Style44">
    <w:name w:val="Style44"/>
    <w:basedOn w:val="Normal"/>
  </w:style>
  <w:style w:type="paragraph" w:customStyle="1" w:styleId="Style45">
    <w:name w:val="Style45"/>
    <w:basedOn w:val="Normal"/>
    <w:pPr>
      <w:spacing w:line="194" w:lineRule="exact"/>
      <w:jc w:val="center"/>
    </w:pPr>
  </w:style>
  <w:style w:type="paragraph" w:customStyle="1" w:styleId="Style46">
    <w:name w:val="Style46"/>
    <w:basedOn w:val="Normal"/>
    <w:pPr>
      <w:spacing w:line="266" w:lineRule="exact"/>
      <w:ind w:hanging="542"/>
      <w:jc w:val="both"/>
    </w:pPr>
  </w:style>
  <w:style w:type="paragraph" w:customStyle="1" w:styleId="Style47">
    <w:name w:val="Style47"/>
    <w:basedOn w:val="Normal"/>
  </w:style>
  <w:style w:type="paragraph" w:customStyle="1" w:styleId="Style48">
    <w:name w:val="Style48"/>
    <w:basedOn w:val="Normal"/>
  </w:style>
  <w:style w:type="paragraph" w:customStyle="1" w:styleId="Style49">
    <w:name w:val="Style49"/>
    <w:basedOn w:val="Normal"/>
  </w:style>
  <w:style w:type="paragraph" w:customStyle="1" w:styleId="Style50">
    <w:name w:val="Style50"/>
    <w:basedOn w:val="Normal"/>
    <w:pPr>
      <w:spacing w:line="262" w:lineRule="exact"/>
    </w:pPr>
  </w:style>
  <w:style w:type="paragraph" w:customStyle="1" w:styleId="Style51">
    <w:name w:val="Style51"/>
    <w:basedOn w:val="Normal"/>
    <w:pPr>
      <w:spacing w:line="245" w:lineRule="exact"/>
      <w:ind w:hanging="634"/>
      <w:jc w:val="both"/>
    </w:pPr>
  </w:style>
  <w:style w:type="paragraph" w:customStyle="1" w:styleId="Style52">
    <w:name w:val="Style52"/>
    <w:basedOn w:val="Normal"/>
  </w:style>
  <w:style w:type="paragraph" w:customStyle="1" w:styleId="Style53">
    <w:name w:val="Style53"/>
    <w:basedOn w:val="Normal"/>
  </w:style>
  <w:style w:type="paragraph" w:customStyle="1" w:styleId="Style54">
    <w:name w:val="Style54"/>
    <w:basedOn w:val="Normal"/>
    <w:pPr>
      <w:spacing w:line="264" w:lineRule="exact"/>
      <w:ind w:firstLine="514"/>
    </w:pPr>
  </w:style>
  <w:style w:type="paragraph" w:customStyle="1" w:styleId="Style55">
    <w:name w:val="Style55"/>
    <w:basedOn w:val="Normal"/>
    <w:pPr>
      <w:spacing w:line="250" w:lineRule="exact"/>
      <w:ind w:firstLine="826"/>
    </w:pPr>
  </w:style>
  <w:style w:type="paragraph" w:customStyle="1" w:styleId="Style56">
    <w:name w:val="Style56"/>
    <w:basedOn w:val="Normal"/>
    <w:pPr>
      <w:spacing w:line="245" w:lineRule="exact"/>
      <w:ind w:hanging="312"/>
    </w:pPr>
  </w:style>
  <w:style w:type="paragraph" w:customStyle="1" w:styleId="Style57">
    <w:name w:val="Style57"/>
    <w:basedOn w:val="Normal"/>
    <w:pPr>
      <w:spacing w:line="192" w:lineRule="exact"/>
      <w:jc w:val="both"/>
    </w:pPr>
  </w:style>
  <w:style w:type="paragraph" w:customStyle="1" w:styleId="Style58">
    <w:name w:val="Style58"/>
    <w:basedOn w:val="Normal"/>
    <w:pPr>
      <w:spacing w:line="182" w:lineRule="exact"/>
      <w:jc w:val="right"/>
    </w:pPr>
  </w:style>
  <w:style w:type="paragraph" w:customStyle="1" w:styleId="Style59">
    <w:name w:val="Style59"/>
    <w:basedOn w:val="Normal"/>
    <w:pPr>
      <w:spacing w:line="250" w:lineRule="exact"/>
      <w:jc w:val="both"/>
    </w:pPr>
  </w:style>
  <w:style w:type="paragraph" w:customStyle="1" w:styleId="Style60">
    <w:name w:val="Style60"/>
    <w:basedOn w:val="Normal"/>
    <w:pPr>
      <w:spacing w:line="456" w:lineRule="exact"/>
    </w:pPr>
  </w:style>
  <w:style w:type="paragraph" w:customStyle="1" w:styleId="Style61">
    <w:name w:val="Style61"/>
    <w:basedOn w:val="Normal"/>
  </w:style>
  <w:style w:type="paragraph" w:customStyle="1" w:styleId="Style62">
    <w:name w:val="Style62"/>
    <w:basedOn w:val="Normal"/>
    <w:pPr>
      <w:spacing w:line="456" w:lineRule="exact"/>
      <w:ind w:hanging="494"/>
    </w:pPr>
  </w:style>
  <w:style w:type="paragraph" w:customStyle="1" w:styleId="Style63">
    <w:name w:val="Style63"/>
    <w:basedOn w:val="Normal"/>
    <w:pPr>
      <w:spacing w:line="206" w:lineRule="exact"/>
    </w:pPr>
  </w:style>
  <w:style w:type="paragraph" w:customStyle="1" w:styleId="Style64">
    <w:name w:val="Style64"/>
    <w:basedOn w:val="Normal"/>
    <w:pPr>
      <w:jc w:val="both"/>
    </w:pPr>
  </w:style>
  <w:style w:type="paragraph" w:customStyle="1" w:styleId="Style65">
    <w:name w:val="Style65"/>
    <w:basedOn w:val="Normal"/>
    <w:pPr>
      <w:spacing w:line="245" w:lineRule="exact"/>
      <w:jc w:val="center"/>
    </w:pPr>
  </w:style>
  <w:style w:type="paragraph" w:customStyle="1" w:styleId="Style66">
    <w:name w:val="Style66"/>
    <w:basedOn w:val="Normal"/>
  </w:style>
  <w:style w:type="paragraph" w:customStyle="1" w:styleId="Style67">
    <w:name w:val="Style67"/>
    <w:basedOn w:val="Normal"/>
  </w:style>
  <w:style w:type="paragraph" w:customStyle="1" w:styleId="Style68">
    <w:name w:val="Style68"/>
    <w:basedOn w:val="Normal"/>
    <w:pPr>
      <w:spacing w:line="202" w:lineRule="exact"/>
      <w:jc w:val="both"/>
    </w:pPr>
  </w:style>
  <w:style w:type="paragraph" w:customStyle="1" w:styleId="Style69">
    <w:name w:val="Style69"/>
    <w:basedOn w:val="Normal"/>
  </w:style>
  <w:style w:type="paragraph" w:customStyle="1" w:styleId="Style70">
    <w:name w:val="Style70"/>
    <w:basedOn w:val="Normal"/>
    <w:pPr>
      <w:spacing w:line="245" w:lineRule="exact"/>
      <w:ind w:hanging="634"/>
      <w:jc w:val="both"/>
    </w:pPr>
  </w:style>
  <w:style w:type="paragraph" w:customStyle="1" w:styleId="Style71">
    <w:name w:val="Style71"/>
    <w:basedOn w:val="Normal"/>
    <w:pPr>
      <w:spacing w:line="206" w:lineRule="exact"/>
      <w:jc w:val="both"/>
    </w:pPr>
  </w:style>
  <w:style w:type="paragraph" w:customStyle="1" w:styleId="Style72">
    <w:name w:val="Style72"/>
    <w:basedOn w:val="Normal"/>
    <w:pPr>
      <w:spacing w:line="192" w:lineRule="exact"/>
      <w:jc w:val="center"/>
    </w:pPr>
  </w:style>
  <w:style w:type="paragraph" w:customStyle="1" w:styleId="Style73">
    <w:name w:val="Style73"/>
    <w:basedOn w:val="Normal"/>
    <w:pPr>
      <w:spacing w:line="187" w:lineRule="exact"/>
      <w:ind w:hanging="154"/>
    </w:pPr>
  </w:style>
  <w:style w:type="paragraph" w:customStyle="1" w:styleId="Style74">
    <w:name w:val="Style74"/>
    <w:basedOn w:val="Normal"/>
  </w:style>
  <w:style w:type="paragraph" w:customStyle="1" w:styleId="Style75">
    <w:name w:val="Style75"/>
    <w:basedOn w:val="Normal"/>
    <w:pPr>
      <w:spacing w:line="278" w:lineRule="exact"/>
      <w:ind w:firstLine="120"/>
    </w:pPr>
  </w:style>
  <w:style w:type="paragraph" w:customStyle="1" w:styleId="Style76">
    <w:name w:val="Style76"/>
    <w:basedOn w:val="Normal"/>
    <w:pPr>
      <w:spacing w:line="456" w:lineRule="exact"/>
      <w:ind w:firstLine="1906"/>
    </w:pPr>
  </w:style>
  <w:style w:type="paragraph" w:customStyle="1" w:styleId="Style77">
    <w:name w:val="Style77"/>
    <w:basedOn w:val="Normal"/>
  </w:style>
  <w:style w:type="paragraph" w:customStyle="1" w:styleId="Style78">
    <w:name w:val="Style78"/>
    <w:basedOn w:val="Normal"/>
    <w:pPr>
      <w:spacing w:line="192" w:lineRule="exact"/>
      <w:ind w:firstLine="149"/>
    </w:pPr>
  </w:style>
  <w:style w:type="paragraph" w:customStyle="1" w:styleId="Style79">
    <w:name w:val="Style79"/>
    <w:basedOn w:val="Normal"/>
  </w:style>
  <w:style w:type="paragraph" w:customStyle="1" w:styleId="Style80">
    <w:name w:val="Style80"/>
    <w:basedOn w:val="Normal"/>
  </w:style>
  <w:style w:type="paragraph" w:customStyle="1" w:styleId="Style81">
    <w:name w:val="Style81"/>
    <w:basedOn w:val="Normal"/>
  </w:style>
  <w:style w:type="character" w:customStyle="1" w:styleId="FontStyle83">
    <w:name w:val="Font Style83"/>
    <w:basedOn w:val="DefaultParagraphFont"/>
    <w:rPr>
      <w:rFonts w:ascii="Times New Roman" w:hAnsi="Times New Roman" w:cs="Times New Roman"/>
      <w:b/>
      <w:bCs/>
      <w:sz w:val="22"/>
      <w:szCs w:val="22"/>
      <w:lang w:val="es-ES"/>
    </w:rPr>
  </w:style>
  <w:style w:type="character" w:customStyle="1" w:styleId="FontStyle84">
    <w:name w:val="Font Style84"/>
    <w:basedOn w:val="DefaultParagraphFont"/>
    <w:rPr>
      <w:rFonts w:ascii="Times New Roman" w:hAnsi="Times New Roman" w:cs="Times New Roman"/>
      <w:sz w:val="22"/>
      <w:szCs w:val="22"/>
      <w:lang w:val="es-ES"/>
    </w:rPr>
  </w:style>
  <w:style w:type="character" w:customStyle="1" w:styleId="FontStyle85">
    <w:name w:val="Font Style85"/>
    <w:basedOn w:val="DefaultParagraphFont"/>
    <w:rPr>
      <w:rFonts w:ascii="Times New Roman" w:hAnsi="Times New Roman" w:cs="Times New Roman"/>
      <w:b/>
      <w:bCs/>
      <w:i/>
      <w:iCs/>
      <w:sz w:val="22"/>
      <w:szCs w:val="22"/>
      <w:lang w:val="es-ES"/>
    </w:rPr>
  </w:style>
  <w:style w:type="character" w:customStyle="1" w:styleId="FontStyle86">
    <w:name w:val="Font Style86"/>
    <w:basedOn w:val="DefaultParagraphFont"/>
    <w:rPr>
      <w:rFonts w:ascii="Times New Roman" w:hAnsi="Times New Roman" w:cs="Times New Roman"/>
      <w:b/>
      <w:bCs/>
      <w:sz w:val="34"/>
      <w:szCs w:val="34"/>
      <w:lang w:val="es-ES"/>
    </w:rPr>
  </w:style>
  <w:style w:type="character" w:customStyle="1" w:styleId="FontStyle87">
    <w:name w:val="Font Style87"/>
    <w:basedOn w:val="DefaultParagraphFont"/>
    <w:rPr>
      <w:rFonts w:ascii="Arial" w:hAnsi="Arial" w:cs="Arial"/>
      <w:b/>
      <w:bCs/>
      <w:sz w:val="18"/>
      <w:szCs w:val="18"/>
      <w:lang w:val="es-ES"/>
    </w:rPr>
  </w:style>
  <w:style w:type="character" w:customStyle="1" w:styleId="FontStyle88">
    <w:name w:val="Font Style88"/>
    <w:basedOn w:val="DefaultParagraphFont"/>
    <w:rPr>
      <w:rFonts w:ascii="Times New Roman" w:hAnsi="Times New Roman" w:cs="Times New Roman"/>
      <w:i/>
      <w:iCs/>
      <w:sz w:val="22"/>
      <w:szCs w:val="22"/>
      <w:lang w:val="es-ES"/>
    </w:rPr>
  </w:style>
  <w:style w:type="character" w:customStyle="1" w:styleId="FontStyle89">
    <w:name w:val="Font Style89"/>
    <w:basedOn w:val="DefaultParagraphFont"/>
    <w:rPr>
      <w:rFonts w:ascii="Times New Roman" w:hAnsi="Times New Roman" w:cs="Times New Roman"/>
      <w:b/>
      <w:bCs/>
      <w:sz w:val="26"/>
      <w:szCs w:val="26"/>
      <w:lang w:val="es-ES"/>
    </w:rPr>
  </w:style>
  <w:style w:type="character" w:customStyle="1" w:styleId="FontStyle90">
    <w:name w:val="Font Style90"/>
    <w:basedOn w:val="DefaultParagraphFont"/>
    <w:rPr>
      <w:rFonts w:ascii="Times New Roman" w:hAnsi="Times New Roman" w:cs="Times New Roman"/>
      <w:b/>
      <w:bCs/>
      <w:i/>
      <w:iCs/>
      <w:sz w:val="20"/>
      <w:szCs w:val="20"/>
      <w:lang w:val="es-ES"/>
    </w:rPr>
  </w:style>
  <w:style w:type="character" w:customStyle="1" w:styleId="FontStyle91">
    <w:name w:val="Font Style91"/>
    <w:basedOn w:val="DefaultParagraphFont"/>
    <w:rPr>
      <w:rFonts w:ascii="Times New Roman" w:hAnsi="Times New Roman" w:cs="Times New Roman"/>
      <w:b/>
      <w:bCs/>
      <w:sz w:val="20"/>
      <w:szCs w:val="20"/>
      <w:lang w:val="es-ES"/>
    </w:rPr>
  </w:style>
  <w:style w:type="character" w:customStyle="1" w:styleId="FontStyle92">
    <w:name w:val="Font Style92"/>
    <w:basedOn w:val="DefaultParagraphFont"/>
    <w:rPr>
      <w:rFonts w:ascii="Times New Roman" w:hAnsi="Times New Roman" w:cs="Times New Roman"/>
      <w:sz w:val="20"/>
      <w:szCs w:val="20"/>
      <w:lang w:val="es-ES"/>
    </w:rPr>
  </w:style>
  <w:style w:type="character" w:customStyle="1" w:styleId="FontStyle93">
    <w:name w:val="Font Style93"/>
    <w:basedOn w:val="DefaultParagraphFont"/>
    <w:rPr>
      <w:rFonts w:ascii="Times New Roman" w:hAnsi="Times New Roman" w:cs="Times New Roman"/>
      <w:i/>
      <w:iCs/>
      <w:sz w:val="20"/>
      <w:szCs w:val="20"/>
      <w:lang w:val="es-ES"/>
    </w:rPr>
  </w:style>
  <w:style w:type="character" w:customStyle="1" w:styleId="FontStyle94">
    <w:name w:val="Font Style94"/>
    <w:basedOn w:val="DefaultParagraphFont"/>
    <w:rPr>
      <w:rFonts w:ascii="Times New Roman" w:hAnsi="Times New Roman" w:cs="Times New Roman"/>
      <w:sz w:val="16"/>
      <w:szCs w:val="16"/>
      <w:lang w:val="es-ES"/>
    </w:rPr>
  </w:style>
  <w:style w:type="character" w:customStyle="1" w:styleId="FontStyle95">
    <w:name w:val="Font Style95"/>
    <w:basedOn w:val="DefaultParagraphFont"/>
    <w:rPr>
      <w:rFonts w:ascii="Times New Roman" w:hAnsi="Times New Roman" w:cs="Times New Roman"/>
      <w:b/>
      <w:bCs/>
      <w:sz w:val="16"/>
      <w:szCs w:val="16"/>
      <w:lang w:val="es-ES"/>
    </w:rPr>
  </w:style>
  <w:style w:type="character" w:customStyle="1" w:styleId="FontStyle96">
    <w:name w:val="Font Style96"/>
    <w:basedOn w:val="DefaultParagraphFont"/>
    <w:rPr>
      <w:rFonts w:ascii="Times New Roman" w:hAnsi="Times New Roman" w:cs="Times New Roman"/>
      <w:sz w:val="14"/>
      <w:szCs w:val="14"/>
      <w:lang w:val="es-ES"/>
    </w:rPr>
  </w:style>
  <w:style w:type="character" w:customStyle="1" w:styleId="FontStyle97">
    <w:name w:val="Font Style97"/>
    <w:basedOn w:val="DefaultParagraphFont"/>
    <w:rPr>
      <w:rFonts w:ascii="Arial" w:hAnsi="Arial" w:cs="Arial"/>
      <w:b/>
      <w:bCs/>
      <w:sz w:val="14"/>
      <w:szCs w:val="14"/>
      <w:lang w:val="es-ES"/>
    </w:rPr>
  </w:style>
  <w:style w:type="character" w:customStyle="1" w:styleId="FontStyle98">
    <w:name w:val="Font Style98"/>
    <w:basedOn w:val="DefaultParagraphFont"/>
    <w:rPr>
      <w:rFonts w:ascii="Times New Roman" w:hAnsi="Times New Roman" w:cs="Times New Roman"/>
      <w:sz w:val="14"/>
      <w:szCs w:val="14"/>
      <w:lang w:val="es-ES"/>
    </w:rPr>
  </w:style>
  <w:style w:type="character" w:customStyle="1" w:styleId="FontStyle99">
    <w:name w:val="Font Style99"/>
    <w:basedOn w:val="DefaultParagraphFont"/>
    <w:rPr>
      <w:rFonts w:ascii="Times New Roman" w:hAnsi="Times New Roman" w:cs="Times New Roman"/>
      <w:b/>
      <w:bCs/>
      <w:sz w:val="14"/>
      <w:szCs w:val="14"/>
      <w:lang w:val="es-ES"/>
    </w:rPr>
  </w:style>
  <w:style w:type="character" w:customStyle="1" w:styleId="FontStyle100">
    <w:name w:val="Font Style100"/>
    <w:basedOn w:val="DefaultParagraphFont"/>
    <w:rPr>
      <w:rFonts w:ascii="Times New Roman" w:hAnsi="Times New Roman" w:cs="Times New Roman"/>
      <w:b/>
      <w:bCs/>
      <w:sz w:val="14"/>
      <w:szCs w:val="14"/>
      <w:lang w:val="es-ES"/>
    </w:rPr>
  </w:style>
  <w:style w:type="character" w:customStyle="1" w:styleId="FontStyle101">
    <w:name w:val="Font Style101"/>
    <w:basedOn w:val="DefaultParagraphFont"/>
    <w:rPr>
      <w:rFonts w:ascii="Times New Roman" w:hAnsi="Times New Roman" w:cs="Times New Roman"/>
      <w:b/>
      <w:bCs/>
      <w:spacing w:val="-10"/>
      <w:sz w:val="70"/>
      <w:szCs w:val="70"/>
      <w:lang w:val="es-ES"/>
    </w:rPr>
  </w:style>
  <w:style w:type="character" w:customStyle="1" w:styleId="FontStyle102">
    <w:name w:val="Font Style102"/>
    <w:basedOn w:val="DefaultParagraphFont"/>
    <w:rPr>
      <w:rFonts w:ascii="Arial Unicode MS" w:eastAsia="Arial Unicode MS" w:hAnsi="Arial Unicode MS" w:cs="Arial Unicode MS"/>
      <w:sz w:val="12"/>
      <w:szCs w:val="12"/>
      <w:lang w:val="es-ES"/>
    </w:rPr>
  </w:style>
  <w:style w:type="character" w:customStyle="1" w:styleId="FontStyle103">
    <w:name w:val="Font Style103"/>
    <w:basedOn w:val="DefaultParagraphFont"/>
    <w:rPr>
      <w:rFonts w:ascii="Arial" w:hAnsi="Arial" w:cs="Arial"/>
      <w:sz w:val="22"/>
      <w:szCs w:val="22"/>
      <w:lang w:val="es-ES"/>
    </w:rPr>
  </w:style>
  <w:style w:type="character" w:customStyle="1" w:styleId="FontStyle104">
    <w:name w:val="Font Style104"/>
    <w:basedOn w:val="DefaultParagraphFont"/>
    <w:rPr>
      <w:rFonts w:ascii="Arial" w:hAnsi="Arial" w:cs="Arial"/>
      <w:b/>
      <w:bCs/>
      <w:sz w:val="22"/>
      <w:szCs w:val="22"/>
      <w:lang w:val="es-ES"/>
    </w:rPr>
  </w:style>
  <w:style w:type="character" w:customStyle="1" w:styleId="FontStyle105">
    <w:name w:val="Font Style105"/>
    <w:basedOn w:val="DefaultParagraphFont"/>
    <w:rPr>
      <w:rFonts w:ascii="Arial" w:hAnsi="Arial" w:cs="Arial"/>
      <w:sz w:val="14"/>
      <w:szCs w:val="14"/>
      <w:lang w:val="es-ES"/>
    </w:rPr>
  </w:style>
  <w:style w:type="character" w:customStyle="1" w:styleId="FontStyle106">
    <w:name w:val="Font Style106"/>
    <w:basedOn w:val="DefaultParagraphFont"/>
    <w:rPr>
      <w:rFonts w:ascii="Arial" w:hAnsi="Arial" w:cs="Arial"/>
      <w:b/>
      <w:bCs/>
      <w:sz w:val="20"/>
      <w:szCs w:val="20"/>
      <w:lang w:val="es-ES"/>
    </w:rPr>
  </w:style>
  <w:style w:type="character" w:customStyle="1" w:styleId="FontStyle107">
    <w:name w:val="Font Style107"/>
    <w:basedOn w:val="DefaultParagraphFont"/>
    <w:rPr>
      <w:rFonts w:ascii="Arial" w:hAnsi="Arial" w:cs="Arial"/>
      <w:smallCaps/>
      <w:spacing w:val="10"/>
      <w:sz w:val="14"/>
      <w:szCs w:val="14"/>
      <w:lang w:val="es-ES"/>
    </w:rPr>
  </w:style>
  <w:style w:type="character" w:customStyle="1" w:styleId="FontStyle108">
    <w:name w:val="Font Style108"/>
    <w:basedOn w:val="DefaultParagraphFont"/>
    <w:rPr>
      <w:rFonts w:ascii="Arial" w:hAnsi="Arial" w:cs="Arial"/>
      <w:b/>
      <w:bCs/>
      <w:sz w:val="12"/>
      <w:szCs w:val="12"/>
      <w:lang w:val="es-ES"/>
    </w:rPr>
  </w:style>
  <w:style w:type="character" w:customStyle="1" w:styleId="FontStyle109">
    <w:name w:val="Font Style109"/>
    <w:basedOn w:val="DefaultParagraphFont"/>
    <w:rPr>
      <w:rFonts w:ascii="Arial" w:hAnsi="Arial" w:cs="Arial"/>
      <w:sz w:val="12"/>
      <w:szCs w:val="12"/>
      <w:lang w:val="es-ES"/>
    </w:rPr>
  </w:style>
  <w:style w:type="character" w:customStyle="1" w:styleId="FontStyle110">
    <w:name w:val="Font Style110"/>
    <w:basedOn w:val="DefaultParagraphFont"/>
    <w:rPr>
      <w:rFonts w:ascii="Times New Roman" w:hAnsi="Times New Roman" w:cs="Times New Roman"/>
      <w:spacing w:val="20"/>
      <w:sz w:val="12"/>
      <w:szCs w:val="12"/>
      <w:lang w:val="es-ES"/>
    </w:rPr>
  </w:style>
  <w:style w:type="character" w:customStyle="1" w:styleId="FontStyle111">
    <w:name w:val="Font Style111"/>
    <w:basedOn w:val="DefaultParagraphFont"/>
    <w:rPr>
      <w:rFonts w:ascii="Franklin Gothic Book" w:hAnsi="Franklin Gothic Book" w:cs="Franklin Gothic Book"/>
      <w:i/>
      <w:iCs/>
      <w:sz w:val="12"/>
      <w:szCs w:val="12"/>
      <w:lang w:val="es-ES"/>
    </w:rPr>
  </w:style>
  <w:style w:type="character" w:customStyle="1" w:styleId="FontStyle112">
    <w:name w:val="Font Style112"/>
    <w:basedOn w:val="DefaultParagraphFont"/>
    <w:rPr>
      <w:rFonts w:ascii="Arial" w:hAnsi="Arial" w:cs="Arial"/>
      <w:b/>
      <w:bCs/>
      <w:spacing w:val="20"/>
      <w:sz w:val="12"/>
      <w:szCs w:val="12"/>
      <w:lang w:val="es-ES"/>
    </w:rPr>
  </w:style>
  <w:style w:type="character" w:customStyle="1" w:styleId="FontStyle113">
    <w:name w:val="Font Style113"/>
    <w:basedOn w:val="DefaultParagraphFont"/>
    <w:rPr>
      <w:rFonts w:ascii="Times New Roman" w:hAnsi="Times New Roman" w:cs="Times New Roman"/>
      <w:sz w:val="12"/>
      <w:szCs w:val="12"/>
      <w:lang w:val="es-ES"/>
    </w:rPr>
  </w:style>
  <w:style w:type="character" w:customStyle="1" w:styleId="FontStyle114">
    <w:name w:val="Font Style114"/>
    <w:basedOn w:val="DefaultParagraphFont"/>
    <w:rPr>
      <w:rFonts w:ascii="Arial" w:hAnsi="Arial" w:cs="Arial"/>
      <w:sz w:val="12"/>
      <w:szCs w:val="12"/>
      <w:lang w:val="es-ES"/>
    </w:rPr>
  </w:style>
  <w:style w:type="character" w:customStyle="1" w:styleId="FontStyle115">
    <w:name w:val="Font Style115"/>
    <w:basedOn w:val="DefaultParagraphFont"/>
    <w:rPr>
      <w:rFonts w:ascii="Times New Roman" w:hAnsi="Times New Roman" w:cs="Times New Roman"/>
      <w:b/>
      <w:bCs/>
      <w:spacing w:val="20"/>
      <w:sz w:val="8"/>
      <w:szCs w:val="8"/>
      <w:lang w:val="es-ES"/>
    </w:rPr>
  </w:style>
  <w:style w:type="character" w:customStyle="1" w:styleId="FontStyle116">
    <w:name w:val="Font Style116"/>
    <w:basedOn w:val="DefaultParagraphFont"/>
    <w:rPr>
      <w:rFonts w:ascii="Arial" w:hAnsi="Arial" w:cs="Arial"/>
      <w:sz w:val="12"/>
      <w:szCs w:val="12"/>
      <w:lang w:val="es-ES"/>
    </w:rPr>
  </w:style>
  <w:style w:type="character" w:customStyle="1" w:styleId="FontStyle117">
    <w:name w:val="Font Style117"/>
    <w:basedOn w:val="DefaultParagraphFont"/>
    <w:rPr>
      <w:rFonts w:ascii="Arial" w:hAnsi="Arial" w:cs="Arial"/>
      <w:sz w:val="12"/>
      <w:szCs w:val="12"/>
      <w:lang w:val="es-ES"/>
    </w:rPr>
  </w:style>
  <w:style w:type="character" w:customStyle="1" w:styleId="FontStyle118">
    <w:name w:val="Font Style118"/>
    <w:basedOn w:val="DefaultParagraphFont"/>
    <w:rPr>
      <w:rFonts w:ascii="Arial" w:hAnsi="Arial" w:cs="Arial"/>
      <w:sz w:val="12"/>
      <w:szCs w:val="12"/>
      <w:lang w:val="es-ES"/>
    </w:rPr>
  </w:style>
  <w:style w:type="character" w:customStyle="1" w:styleId="FontStyle119">
    <w:name w:val="Font Style119"/>
    <w:basedOn w:val="DefaultParagraphFont"/>
    <w:rPr>
      <w:rFonts w:ascii="Times New Roman" w:hAnsi="Times New Roman" w:cs="Times New Roman"/>
      <w:b/>
      <w:bCs/>
      <w:spacing w:val="40"/>
      <w:sz w:val="38"/>
      <w:szCs w:val="38"/>
      <w:lang w:val="es-ES"/>
    </w:rPr>
  </w:style>
  <w:style w:type="character" w:customStyle="1" w:styleId="FontStyle120">
    <w:name w:val="Font Style120"/>
    <w:basedOn w:val="DefaultParagraphFont"/>
    <w:rPr>
      <w:rFonts w:ascii="Franklin Gothic Demi" w:hAnsi="Franklin Gothic Demi" w:cs="Franklin Gothic Demi"/>
      <w:spacing w:val="60"/>
      <w:sz w:val="24"/>
      <w:szCs w:val="24"/>
      <w:lang w:val="es-ES"/>
    </w:rPr>
  </w:style>
  <w:style w:type="character" w:customStyle="1" w:styleId="FontStyle121">
    <w:name w:val="Font Style121"/>
    <w:basedOn w:val="DefaultParagraphFont"/>
    <w:rPr>
      <w:rFonts w:ascii="Franklin Gothic Book" w:hAnsi="Franklin Gothic Book" w:cs="Franklin Gothic Book"/>
      <w:b/>
      <w:bCs/>
      <w:sz w:val="10"/>
      <w:szCs w:val="10"/>
      <w:lang w:val="es-ES"/>
    </w:rPr>
  </w:style>
  <w:style w:type="character" w:customStyle="1" w:styleId="FontStyle122">
    <w:name w:val="Font Style122"/>
    <w:basedOn w:val="DefaultParagraphFont"/>
    <w:rPr>
      <w:rFonts w:ascii="Times New Roman" w:hAnsi="Times New Roman" w:cs="Times New Roman"/>
      <w:b/>
      <w:bCs/>
      <w:spacing w:val="10"/>
      <w:sz w:val="12"/>
      <w:szCs w:val="12"/>
      <w:lang w:val="es-ES"/>
    </w:rPr>
  </w:style>
  <w:style w:type="character" w:customStyle="1" w:styleId="FontStyle123">
    <w:name w:val="Font Style123"/>
    <w:basedOn w:val="DefaultParagraphFont"/>
    <w:rPr>
      <w:rFonts w:ascii="Franklin Gothic Book" w:hAnsi="Franklin Gothic Book" w:cs="Franklin Gothic Book"/>
      <w:b/>
      <w:bCs/>
      <w:sz w:val="16"/>
      <w:szCs w:val="16"/>
      <w:lang w:val="es-ES"/>
    </w:rPr>
  </w:style>
  <w:style w:type="character" w:customStyle="1" w:styleId="FontStyle124">
    <w:name w:val="Font Style124"/>
    <w:basedOn w:val="DefaultParagraphFont"/>
    <w:rPr>
      <w:rFonts w:ascii="Arial" w:hAnsi="Arial" w:cs="Arial"/>
      <w:sz w:val="14"/>
      <w:szCs w:val="14"/>
      <w:lang w:val="es-ES"/>
    </w:rPr>
  </w:style>
  <w:style w:type="character" w:customStyle="1" w:styleId="FontStyle125">
    <w:name w:val="Font Style125"/>
    <w:basedOn w:val="DefaultParagraphFont"/>
    <w:rPr>
      <w:rFonts w:ascii="Arial" w:hAnsi="Arial" w:cs="Arial"/>
      <w:spacing w:val="30"/>
      <w:sz w:val="14"/>
      <w:szCs w:val="14"/>
      <w:lang w:val="es-ES"/>
    </w:rPr>
  </w:style>
  <w:style w:type="character" w:styleId="Hyperlink">
    <w:name w:val="Hyperlink"/>
    <w:basedOn w:val="DefaultParagraphFont"/>
    <w:rPr>
      <w:rFonts w:cs="Times New Roman"/>
      <w:color w:val="0066CC"/>
      <w:u w:val="single"/>
      <w:lang w:val="es-ES"/>
    </w:rPr>
  </w:style>
  <w:style w:type="paragraph" w:styleId="Footer">
    <w:name w:val="footer"/>
    <w:basedOn w:val="Normal"/>
    <w:rsid w:val="007B7C8B"/>
    <w:pPr>
      <w:tabs>
        <w:tab w:val="center" w:pos="4320"/>
        <w:tab w:val="right" w:pos="8640"/>
      </w:tabs>
    </w:pPr>
  </w:style>
  <w:style w:type="character" w:styleId="PageNumber">
    <w:name w:val="page number"/>
    <w:basedOn w:val="DefaultParagraphFont"/>
    <w:rsid w:val="007B7C8B"/>
    <w:rPr>
      <w:rFonts w:cs="Times New Roman"/>
      <w:lang w:val="es-ES"/>
    </w:rPr>
  </w:style>
  <w:style w:type="paragraph" w:styleId="FootnoteText">
    <w:name w:val="footnote text"/>
    <w:basedOn w:val="Normal"/>
    <w:semiHidden/>
    <w:rsid w:val="00015BB1"/>
    <w:rPr>
      <w:sz w:val="20"/>
      <w:szCs w:val="20"/>
    </w:rPr>
  </w:style>
  <w:style w:type="character" w:styleId="FootnoteReference">
    <w:name w:val="footnote reference"/>
    <w:basedOn w:val="DefaultParagraphFont"/>
    <w:semiHidden/>
    <w:rsid w:val="00015BB1"/>
    <w:rPr>
      <w:rFonts w:cs="Times New Roman"/>
      <w:vertAlign w:val="superscript"/>
      <w:lang w:val="es-ES"/>
    </w:rPr>
  </w:style>
  <w:style w:type="table" w:styleId="TableGrid">
    <w:name w:val="Table Grid"/>
    <w:basedOn w:val="TableNormal"/>
    <w:rsid w:val="008A7FC1"/>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margin">
    <w:name w:val="nomargin"/>
    <w:basedOn w:val="Normal"/>
    <w:rsid w:val="008A7FC1"/>
    <w:pPr>
      <w:widowControl/>
      <w:autoSpaceDE/>
      <w:autoSpaceDN/>
      <w:adjustRightInd/>
      <w:spacing w:before="100" w:beforeAutospacing="1" w:after="100" w:afterAutospacing="1"/>
    </w:pPr>
    <w:rPr>
      <w:lang w:eastAsia="en-US"/>
    </w:rPr>
  </w:style>
  <w:style w:type="paragraph" w:styleId="Header">
    <w:name w:val="header"/>
    <w:basedOn w:val="Normal"/>
    <w:rsid w:val="00D34236"/>
    <w:pPr>
      <w:tabs>
        <w:tab w:val="center" w:pos="4320"/>
        <w:tab w:val="right" w:pos="8640"/>
      </w:tabs>
    </w:pPr>
  </w:style>
  <w:style w:type="paragraph" w:styleId="BalloonText">
    <w:name w:val="Balloon Text"/>
    <w:basedOn w:val="Normal"/>
    <w:semiHidden/>
    <w:rsid w:val="00EC29C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hyperlink" Target="http://rsl8wyers.com" TargetMode="External"/><Relationship Id="rId7" Type="http://schemas.openxmlformats.org/officeDocument/2006/relationships/hyperlink" Target="http://www.ey.com/ca/universalsettlements" TargetMode="Externa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yperlink" Target="mailto:randy.bennett@rslawyers.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ontariocourts.on.ca/scj/en/div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40</Pages>
  <Words>9637</Words>
  <Characters>54936</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Court File No</vt:lpstr>
    </vt:vector>
  </TitlesOfParts>
  <Company/>
  <LinksUpToDate>false</LinksUpToDate>
  <CharactersWithSpaces>64445</CharactersWithSpaces>
  <SharedDoc>false</SharedDoc>
  <HLinks>
    <vt:vector size="24" baseType="variant">
      <vt:variant>
        <vt:i4>7012358</vt:i4>
      </vt:variant>
      <vt:variant>
        <vt:i4>6</vt:i4>
      </vt:variant>
      <vt:variant>
        <vt:i4>0</vt:i4>
      </vt:variant>
      <vt:variant>
        <vt:i4>5</vt:i4>
      </vt:variant>
      <vt:variant>
        <vt:lpwstr>mailto:randy.bennett@rslawyers.com</vt:lpwstr>
      </vt:variant>
      <vt:variant>
        <vt:lpwstr/>
      </vt:variant>
      <vt:variant>
        <vt:i4>5898248</vt:i4>
      </vt:variant>
      <vt:variant>
        <vt:i4>3</vt:i4>
      </vt:variant>
      <vt:variant>
        <vt:i4>0</vt:i4>
      </vt:variant>
      <vt:variant>
        <vt:i4>5</vt:i4>
      </vt:variant>
      <vt:variant>
        <vt:lpwstr>http://rsl8wyers.com/</vt:lpwstr>
      </vt:variant>
      <vt:variant>
        <vt:lpwstr/>
      </vt:variant>
      <vt:variant>
        <vt:i4>4325384</vt:i4>
      </vt:variant>
      <vt:variant>
        <vt:i4>0</vt:i4>
      </vt:variant>
      <vt:variant>
        <vt:i4>0</vt:i4>
      </vt:variant>
      <vt:variant>
        <vt:i4>5</vt:i4>
      </vt:variant>
      <vt:variant>
        <vt:lpwstr>http://www.ey.com/ca/universalsettlements</vt:lpwstr>
      </vt:variant>
      <vt:variant>
        <vt:lpwstr/>
      </vt:variant>
      <vt:variant>
        <vt:i4>1376284</vt:i4>
      </vt:variant>
      <vt:variant>
        <vt:i4>0</vt:i4>
      </vt:variant>
      <vt:variant>
        <vt:i4>0</vt:i4>
      </vt:variant>
      <vt:variant>
        <vt:i4>5</vt:i4>
      </vt:variant>
      <vt:variant>
        <vt:lpwstr>http://www.ontariocourts.on.ca/scj/en/divct/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Court File No</dc:title>
  <dc:subject/>
  <dc:creator>Elsa</dc:creator>
  <cp:keywords/>
  <dc:description/>
  <cp:lastModifiedBy>daniel pollack</cp:lastModifiedBy>
  <cp:revision>2</cp:revision>
  <cp:lastPrinted>2011-01-24T03:55:00Z</cp:lastPrinted>
  <dcterms:created xsi:type="dcterms:W3CDTF">2011-01-24T14:58:00Z</dcterms:created>
  <dcterms:modified xsi:type="dcterms:W3CDTF">2011-01-24T14:58:00Z</dcterms:modified>
</cp:coreProperties>
</file>