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203" w:rsidRPr="00E47863" w:rsidRDefault="00104203" w:rsidP="00104203">
      <w:pPr>
        <w:pStyle w:val="BodyText"/>
        <w:spacing w:line="240" w:lineRule="auto"/>
        <w:jc w:val="right"/>
      </w:pPr>
      <w:r w:rsidRPr="00E47863">
        <w:t xml:space="preserve">No. </w:t>
      </w:r>
      <w:r w:rsidR="003F718E" w:rsidRPr="00E47863">
        <w:t>S-205095</w:t>
      </w:r>
    </w:p>
    <w:p w:rsidR="00104203" w:rsidRPr="00E47863" w:rsidRDefault="00104203" w:rsidP="00104203">
      <w:pPr>
        <w:pStyle w:val="BodyText"/>
        <w:spacing w:before="0" w:line="240" w:lineRule="auto"/>
        <w:jc w:val="right"/>
      </w:pPr>
      <w:r w:rsidRPr="00E47863">
        <w:rPr>
          <w:noProof/>
          <w:lang w:val="en-GB"/>
        </w:rPr>
        <w:t>Vancouver</w:t>
      </w:r>
      <w:r w:rsidRPr="00E47863">
        <w:t xml:space="preserve"> Registry</w:t>
      </w:r>
    </w:p>
    <w:p w:rsidR="00104203" w:rsidRPr="004C1305" w:rsidRDefault="007A718E" w:rsidP="00104203">
      <w:pPr>
        <w:spacing w:after="240"/>
        <w:jc w:val="center"/>
        <w:rPr>
          <w:b/>
          <w:lang w:val="en-US"/>
        </w:rPr>
      </w:pPr>
      <w:r>
        <w:rPr>
          <w:b/>
          <w:lang w:val="en-US"/>
        </w:rPr>
        <w:t xml:space="preserve"> </w:t>
      </w:r>
    </w:p>
    <w:p w:rsidR="00104203" w:rsidRPr="004C1305" w:rsidRDefault="00104203" w:rsidP="00104203">
      <w:pPr>
        <w:spacing w:after="240"/>
        <w:jc w:val="center"/>
        <w:rPr>
          <w:b/>
          <w:lang w:val="en-US"/>
        </w:rPr>
      </w:pPr>
      <w:r w:rsidRPr="004C1305">
        <w:rPr>
          <w:b/>
          <w:lang w:val="en-US"/>
        </w:rPr>
        <w:t>IN THE SUPREME COURT OF BRITISH COLUMBIA</w:t>
      </w:r>
    </w:p>
    <w:p w:rsidR="00104203" w:rsidRDefault="00104203" w:rsidP="00104203">
      <w:pPr>
        <w:pStyle w:val="BodyText"/>
        <w:spacing w:line="240" w:lineRule="auto"/>
        <w:jc w:val="center"/>
      </w:pPr>
      <w:r>
        <w:t xml:space="preserve">IN THE MATTER OF THE </w:t>
      </w:r>
      <w:r w:rsidRPr="00B116C3">
        <w:rPr>
          <w:i/>
        </w:rPr>
        <w:t>COMPANIES’ CREDITORS ARRANGEMENT ACT</w:t>
      </w:r>
      <w:r>
        <w:t>,</w:t>
      </w:r>
      <w:r>
        <w:br/>
        <w:t>R.S.C. 1985, c. C-36, AS AMENDED</w:t>
      </w:r>
    </w:p>
    <w:p w:rsidR="00104203" w:rsidRDefault="00104203" w:rsidP="00104203">
      <w:pPr>
        <w:pStyle w:val="BodyText"/>
        <w:spacing w:line="240" w:lineRule="auto"/>
        <w:jc w:val="center"/>
      </w:pPr>
      <w:r>
        <w:t>– AND –</w:t>
      </w:r>
    </w:p>
    <w:p w:rsidR="00104203" w:rsidRDefault="00104203" w:rsidP="00104203">
      <w:pPr>
        <w:pStyle w:val="BodyText"/>
        <w:spacing w:line="240" w:lineRule="auto"/>
        <w:jc w:val="center"/>
      </w:pPr>
      <w:r>
        <w:t xml:space="preserve">IN THE MATTER OF THE </w:t>
      </w:r>
      <w:r w:rsidRPr="00B116C3">
        <w:rPr>
          <w:i/>
        </w:rPr>
        <w:t>BUSINESS CORPORATIONS ACT</w:t>
      </w:r>
      <w:r>
        <w:t>,</w:t>
      </w:r>
      <w:r>
        <w:br/>
        <w:t>S.B.C. 2002, C. 57, AS AMENDED</w:t>
      </w:r>
    </w:p>
    <w:p w:rsidR="00104203" w:rsidRDefault="00104203" w:rsidP="00104203">
      <w:pPr>
        <w:pStyle w:val="BodyText"/>
        <w:spacing w:line="240" w:lineRule="auto"/>
        <w:jc w:val="center"/>
      </w:pPr>
      <w:r>
        <w:t>– AND –</w:t>
      </w:r>
    </w:p>
    <w:p w:rsidR="00104203" w:rsidRDefault="00104203" w:rsidP="00104203">
      <w:pPr>
        <w:pStyle w:val="BodyText"/>
        <w:spacing w:line="240" w:lineRule="auto"/>
        <w:jc w:val="center"/>
      </w:pPr>
      <w:r>
        <w:t>IN THE MATTER OF A PLAN OF COMPROMISE AND ARRANGEMENT OF</w:t>
      </w:r>
      <w:r>
        <w:br/>
        <w:t xml:space="preserve">PORT CAPITAL DEVELOPMENT (EV) INC. and EVERGREEN HOUSE DEVELOPMENT LIMITED PARTNERSHIP </w:t>
      </w:r>
    </w:p>
    <w:p w:rsidR="00104203" w:rsidRPr="004C1305" w:rsidRDefault="00104203" w:rsidP="006D2097">
      <w:pPr>
        <w:pStyle w:val="BodyText"/>
        <w:spacing w:line="240" w:lineRule="auto"/>
        <w:jc w:val="center"/>
        <w:rPr>
          <w:b/>
          <w:u w:val="single"/>
        </w:rPr>
      </w:pPr>
      <w:r>
        <w:rPr>
          <w:b/>
          <w:u w:val="single"/>
        </w:rPr>
        <w:t>ORDE</w:t>
      </w:r>
      <w:r w:rsidRPr="004C1305">
        <w:rPr>
          <w:b/>
          <w:u w:val="single"/>
        </w:rPr>
        <w:t xml:space="preserve">R MADE AFTER APPLICATION </w:t>
      </w:r>
      <w:r>
        <w:rPr>
          <w:b/>
          <w:u w:val="single"/>
        </w:rPr>
        <w:br/>
        <w:t>(</w:t>
      </w:r>
      <w:r w:rsidR="006A744D">
        <w:rPr>
          <w:b/>
          <w:u w:val="single"/>
        </w:rPr>
        <w:t xml:space="preserve">Interim Financing and </w:t>
      </w:r>
      <w:r w:rsidR="00E47863">
        <w:rPr>
          <w:b/>
          <w:u w:val="single"/>
        </w:rPr>
        <w:t>Stay Extension</w:t>
      </w:r>
      <w:r>
        <w:rPr>
          <w:b/>
          <w:u w:val="single"/>
        </w:rPr>
        <w:t>)</w:t>
      </w:r>
      <w:r w:rsidR="006D2097">
        <w:rPr>
          <w:b/>
          <w:u w:val="single"/>
        </w:rPr>
        <w:br/>
      </w:r>
    </w:p>
    <w:tbl>
      <w:tblPr>
        <w:tblW w:w="9376" w:type="dxa"/>
        <w:tblLayout w:type="fixed"/>
        <w:tblCellMar>
          <w:left w:w="0" w:type="dxa"/>
          <w:right w:w="0" w:type="dxa"/>
        </w:tblCellMar>
        <w:tblLook w:val="0000" w:firstRow="0" w:lastRow="0" w:firstColumn="0" w:lastColumn="0" w:noHBand="0" w:noVBand="0"/>
      </w:tblPr>
      <w:tblGrid>
        <w:gridCol w:w="4508"/>
        <w:gridCol w:w="720"/>
        <w:gridCol w:w="4148"/>
      </w:tblGrid>
      <w:tr w:rsidR="00104203" w:rsidTr="004D0874">
        <w:trPr>
          <w:cantSplit/>
        </w:trPr>
        <w:tc>
          <w:tcPr>
            <w:tcW w:w="4508" w:type="dxa"/>
            <w:shd w:val="clear" w:color="auto" w:fill="auto"/>
          </w:tcPr>
          <w:p w:rsidR="00104203" w:rsidRDefault="00104203" w:rsidP="006D2097">
            <w:r w:rsidRPr="004C1305">
              <w:t xml:space="preserve">BEFORE THE HONOURABLE </w:t>
            </w:r>
          </w:p>
          <w:p w:rsidR="00104203" w:rsidRPr="004C1305" w:rsidRDefault="00104203" w:rsidP="006D2097">
            <w:r>
              <w:t>MADAM JUSTICE FITZPATRICK</w:t>
            </w:r>
          </w:p>
        </w:tc>
        <w:tc>
          <w:tcPr>
            <w:tcW w:w="720" w:type="dxa"/>
            <w:shd w:val="clear" w:color="auto" w:fill="auto"/>
          </w:tcPr>
          <w:p w:rsidR="00104203" w:rsidRPr="004C1305" w:rsidRDefault="006D2097" w:rsidP="006D2097">
            <w:r>
              <w:t>)</w:t>
            </w:r>
            <w:r>
              <w:br/>
              <w:t>)</w:t>
            </w:r>
            <w:r>
              <w:br/>
            </w:r>
          </w:p>
        </w:tc>
        <w:tc>
          <w:tcPr>
            <w:tcW w:w="4148" w:type="dxa"/>
            <w:shd w:val="clear" w:color="auto" w:fill="auto"/>
          </w:tcPr>
          <w:p w:rsidR="00104203" w:rsidRDefault="00104203" w:rsidP="006D2097">
            <w:pPr>
              <w:rPr>
                <w:shd w:val="clear" w:color="auto" w:fill="C0C0C0"/>
              </w:rPr>
            </w:pPr>
          </w:p>
          <w:p w:rsidR="00104203" w:rsidRPr="004C1305" w:rsidRDefault="002A60FA" w:rsidP="006D2097">
            <w:r>
              <w:t>13</w:t>
            </w:r>
            <w:r w:rsidR="003F718E">
              <w:t>/</w:t>
            </w:r>
            <w:r>
              <w:t>MAY</w:t>
            </w:r>
            <w:r w:rsidR="00E47863">
              <w:t>/2022</w:t>
            </w:r>
          </w:p>
        </w:tc>
      </w:tr>
    </w:tbl>
    <w:p w:rsidR="00104203" w:rsidRDefault="00104203" w:rsidP="006D2097">
      <w:pPr>
        <w:pStyle w:val="BodyText"/>
        <w:spacing w:before="0" w:line="240" w:lineRule="auto"/>
      </w:pPr>
      <w:r w:rsidRPr="004C1305">
        <w:t>THE APPLICATION of the Petitioner</w:t>
      </w:r>
      <w:r>
        <w:t>s</w:t>
      </w:r>
      <w:r w:rsidRPr="004C1305">
        <w:t xml:space="preserve"> coming on for hearing at </w:t>
      </w:r>
      <w:r w:rsidR="002A60FA">
        <w:t xml:space="preserve">800 Smithe Street, </w:t>
      </w:r>
      <w:r w:rsidRPr="004C1305">
        <w:rPr>
          <w:noProof/>
        </w:rPr>
        <w:t>Vancouver</w:t>
      </w:r>
      <w:r w:rsidR="00C123E0">
        <w:t xml:space="preserve">, British Columbia, on the </w:t>
      </w:r>
      <w:r w:rsidR="002A60FA">
        <w:t>13</w:t>
      </w:r>
      <w:r w:rsidR="00E47863" w:rsidRPr="00E47863">
        <w:rPr>
          <w:vertAlign w:val="superscript"/>
        </w:rPr>
        <w:t>th</w:t>
      </w:r>
      <w:r w:rsidR="00C123E0">
        <w:t xml:space="preserve"> </w:t>
      </w:r>
      <w:r>
        <w:t xml:space="preserve">day of </w:t>
      </w:r>
      <w:r w:rsidR="002A60FA">
        <w:t>May</w:t>
      </w:r>
      <w:r w:rsidR="00E47863">
        <w:t>, 2022</w:t>
      </w:r>
      <w:r>
        <w:t xml:space="preserve">; AND ON HEARING </w:t>
      </w:r>
      <w:r w:rsidR="00E47863">
        <w:t>David Gruber</w:t>
      </w:r>
      <w:r>
        <w:t xml:space="preserve">, </w:t>
      </w:r>
      <w:r w:rsidRPr="004C1305">
        <w:t>counsel for the Petitioner</w:t>
      </w:r>
      <w:r>
        <w:t>s</w:t>
      </w:r>
      <w:r w:rsidRPr="004C1305">
        <w:t xml:space="preserve"> and those oth</w:t>
      </w:r>
      <w:r>
        <w:t>er counsel</w:t>
      </w:r>
      <w:r w:rsidR="00C123E0">
        <w:t xml:space="preserve"> and parties</w:t>
      </w:r>
      <w:r>
        <w:t xml:space="preserve"> listed on </w:t>
      </w:r>
      <w:r w:rsidRPr="006D2097">
        <w:rPr>
          <w:b/>
        </w:rPr>
        <w:t>Schedule "A"</w:t>
      </w:r>
      <w:r w:rsidRPr="004C1305">
        <w:t xml:space="preserve"> hereto; AND UPON READING the material filed, including the </w:t>
      </w:r>
      <w:r w:rsidR="002A60FA">
        <w:t>Eleventh</w:t>
      </w:r>
      <w:r w:rsidR="00E47863">
        <w:t xml:space="preserve"> Report</w:t>
      </w:r>
      <w:r w:rsidR="003F718E">
        <w:t xml:space="preserve"> of Ernst &amp; Young, Inc., in its capacity as court </w:t>
      </w:r>
      <w:r w:rsidR="00B5697F">
        <w:t>appointed monitor,</w:t>
      </w:r>
      <w:r w:rsidR="003F718E">
        <w:t xml:space="preserve"> </w:t>
      </w:r>
      <w:r w:rsidR="00E47863">
        <w:t>to be filed</w:t>
      </w:r>
      <w:r w:rsidR="003F718E">
        <w:t>;</w:t>
      </w:r>
      <w:r>
        <w:t xml:space="preserve"> </w:t>
      </w:r>
      <w:r w:rsidRPr="004C1305">
        <w:t xml:space="preserve">AND pursuant to the </w:t>
      </w:r>
      <w:r w:rsidRPr="004C1305">
        <w:rPr>
          <w:i/>
          <w:iCs/>
        </w:rPr>
        <w:t>Companies</w:t>
      </w:r>
      <w:r>
        <w:rPr>
          <w:i/>
          <w:iCs/>
        </w:rPr>
        <w:t>'</w:t>
      </w:r>
      <w:r w:rsidRPr="004C1305">
        <w:rPr>
          <w:i/>
          <w:iCs/>
        </w:rPr>
        <w:t xml:space="preserve"> Creditors Arrangement Act</w:t>
      </w:r>
      <w:r w:rsidRPr="004C1305">
        <w:t>, R.S.C. 1985 c. C-36, the British Columbia Supreme Court Civil Rules and the inherent jurisdiction of this Honourable Court;</w:t>
      </w:r>
    </w:p>
    <w:p w:rsidR="006D2097" w:rsidRDefault="003F718E" w:rsidP="00104203">
      <w:pPr>
        <w:pStyle w:val="BodyText"/>
      </w:pPr>
      <w:r w:rsidRPr="003F718E">
        <w:t xml:space="preserve">THIS COURT ORDERS AND DECLARES THAT: </w:t>
      </w:r>
    </w:p>
    <w:p w:rsidR="006D2097" w:rsidRPr="006D2097" w:rsidRDefault="006D2097" w:rsidP="00104203">
      <w:pPr>
        <w:pStyle w:val="BodyText"/>
        <w:rPr>
          <w:b/>
        </w:rPr>
      </w:pPr>
      <w:r>
        <w:rPr>
          <w:b/>
        </w:rPr>
        <w:t>SERVICE</w:t>
      </w:r>
    </w:p>
    <w:p w:rsidR="003F718E" w:rsidRDefault="003F718E" w:rsidP="00FE1527">
      <w:pPr>
        <w:pStyle w:val="BodyText"/>
        <w:numPr>
          <w:ilvl w:val="0"/>
          <w:numId w:val="33"/>
        </w:numPr>
      </w:pPr>
      <w:r>
        <w:t xml:space="preserve">The time for service of the Notice of Application filed </w:t>
      </w:r>
      <w:r w:rsidR="002A60FA">
        <w:t xml:space="preserve">May </w:t>
      </w:r>
      <w:r w:rsidR="00C36FAA">
        <w:t>11</w:t>
      </w:r>
      <w:r w:rsidR="00E47863">
        <w:t>, 2022</w:t>
      </w:r>
      <w:r>
        <w:t xml:space="preserve"> herein be and is hereby abridged such that the Notice of Application is properly returnable today and service thereof on any interested party is hereby dispensed with. </w:t>
      </w:r>
    </w:p>
    <w:p w:rsidR="00D1319C" w:rsidRPr="00D1319C" w:rsidRDefault="0039765C" w:rsidP="00FE1527">
      <w:pPr>
        <w:pStyle w:val="BodyText"/>
        <w:rPr>
          <w:b/>
        </w:rPr>
      </w:pPr>
      <w:r w:rsidRPr="0039765C">
        <w:rPr>
          <w:b/>
        </w:rPr>
        <w:lastRenderedPageBreak/>
        <w:t>INTERIM FINANCING</w:t>
      </w:r>
    </w:p>
    <w:p w:rsidR="0039765C" w:rsidRDefault="0039765C" w:rsidP="00FE1527">
      <w:pPr>
        <w:pStyle w:val="BodyText"/>
        <w:numPr>
          <w:ilvl w:val="0"/>
          <w:numId w:val="33"/>
        </w:numPr>
      </w:pPr>
      <w:r>
        <w:t>All capitalized terms in this Order not otherwise defined herein have the meaning ascribed to them in the as defined in the Further Amended and Restated Initial order pronounced by the Court on February 14, 2022 (the "</w:t>
      </w:r>
      <w:r>
        <w:rPr>
          <w:b/>
        </w:rPr>
        <w:t>FARIO</w:t>
      </w:r>
      <w:r>
        <w:t>").</w:t>
      </w:r>
    </w:p>
    <w:p w:rsidR="0039765C" w:rsidRDefault="0039765C" w:rsidP="00FE1527">
      <w:pPr>
        <w:pStyle w:val="BodyText"/>
        <w:numPr>
          <w:ilvl w:val="0"/>
          <w:numId w:val="33"/>
        </w:numPr>
      </w:pPr>
      <w:r w:rsidRPr="0039765C">
        <w:t>The Petitioner</w:t>
      </w:r>
      <w:r>
        <w:t>s</w:t>
      </w:r>
      <w:r w:rsidRPr="0039765C">
        <w:t xml:space="preserve"> </w:t>
      </w:r>
      <w:r>
        <w:t>are</w:t>
      </w:r>
      <w:r w:rsidRPr="0039765C">
        <w:t xml:space="preserve"> hereby authorized and empowered to obtain and borrow under a credit facility from </w:t>
      </w:r>
      <w:r>
        <w:t>Mandate Management Corporation</w:t>
      </w:r>
      <w:r w:rsidR="00DB399C">
        <w:t xml:space="preserve"> and its group of lenders/investors</w:t>
      </w:r>
      <w:r w:rsidRPr="0039765C">
        <w:t xml:space="preserve"> (t</w:t>
      </w:r>
      <w:r w:rsidR="00DB399C">
        <w:t>ogether t</w:t>
      </w:r>
      <w:r w:rsidRPr="0039765C">
        <w:t>he "</w:t>
      </w:r>
      <w:r w:rsidRPr="0039765C">
        <w:rPr>
          <w:b/>
        </w:rPr>
        <w:t>Interim Lender</w:t>
      </w:r>
      <w:r w:rsidRPr="0039765C">
        <w:t>") in order to finance the continuation of the Business and preservation of the Property, provided that</w:t>
      </w:r>
      <w:r w:rsidR="00DB399C">
        <w:t xml:space="preserve"> the principal amount of such</w:t>
      </w:r>
      <w:r w:rsidRPr="0039765C">
        <w:t xml:space="preserve"> borrowings under such credit facility shall not exceed $</w:t>
      </w:r>
      <w:r>
        <w:t>20,000,000.00</w:t>
      </w:r>
      <w:r w:rsidRPr="0039765C">
        <w:t xml:space="preserve"> unless permitted by further Order of this Court.</w:t>
      </w:r>
    </w:p>
    <w:p w:rsidR="0039765C" w:rsidRDefault="0039765C" w:rsidP="00FE1527">
      <w:pPr>
        <w:pStyle w:val="BodyText"/>
        <w:numPr>
          <w:ilvl w:val="0"/>
          <w:numId w:val="33"/>
        </w:numPr>
      </w:pPr>
      <w:r w:rsidRPr="0039765C">
        <w:t>Such credit facility shall be on the terms and subject to the conditions set forth in the commitment letter between the Petitioner</w:t>
      </w:r>
      <w:r>
        <w:t>s</w:t>
      </w:r>
      <w:r w:rsidRPr="0039765C">
        <w:t xml:space="preserve"> and the Interim Lender dated as of </w:t>
      </w:r>
      <w:r w:rsidR="00C36FAA">
        <w:t>May 11, 2022</w:t>
      </w:r>
      <w:r w:rsidRPr="0039765C">
        <w:t xml:space="preserve"> (the "</w:t>
      </w:r>
      <w:r w:rsidRPr="0039765C">
        <w:rPr>
          <w:b/>
        </w:rPr>
        <w:t>Commitment Letter</w:t>
      </w:r>
      <w:r w:rsidRPr="0039765C">
        <w:t>"), filed.</w:t>
      </w:r>
    </w:p>
    <w:p w:rsidR="0039765C" w:rsidRDefault="0039765C" w:rsidP="00FE1527">
      <w:pPr>
        <w:pStyle w:val="BodyText"/>
        <w:numPr>
          <w:ilvl w:val="0"/>
          <w:numId w:val="33"/>
        </w:numPr>
      </w:pPr>
      <w:r w:rsidRPr="0039765C">
        <w:t>The Petitioner</w:t>
      </w:r>
      <w:r>
        <w:t>s</w:t>
      </w:r>
      <w:r w:rsidRPr="0039765C">
        <w:t xml:space="preserve"> </w:t>
      </w:r>
      <w:r>
        <w:t>are</w:t>
      </w:r>
      <w:r w:rsidRPr="0039765C">
        <w:t xml:space="preserve"> hereby authorized and empowered to execute and deliver such credit agreements, mortgages, charges, hypothecs and security documents, guarantees and other definitive documents (collectively, the "</w:t>
      </w:r>
      <w:r w:rsidRPr="0039765C">
        <w:rPr>
          <w:b/>
        </w:rPr>
        <w:t>Definitive Documents</w:t>
      </w:r>
      <w:r w:rsidRPr="0039765C">
        <w:t>"), as are contemplated by the Commitment Letter or as may be reasonably required by the Interim Lender pursuant to the terms thereof, and the Petitioner</w:t>
      </w:r>
      <w:r>
        <w:t>s</w:t>
      </w:r>
      <w:r w:rsidRPr="0039765C">
        <w:t xml:space="preserve"> </w:t>
      </w:r>
      <w:r>
        <w:t>are</w:t>
      </w:r>
      <w:r w:rsidRPr="0039765C">
        <w:t xml:space="preserve"> hereby authorized and directed to pay and perform all of its indebtedness, interest, fees, liabilities and obligations to the Interim Lender under and pursuant to the Commitment Letter and the Definitive Documents as and when the same become due and are to be performed, notwithstanding any other provision of this Order</w:t>
      </w:r>
      <w:r>
        <w:t xml:space="preserve"> or the FARIO</w:t>
      </w:r>
      <w:r w:rsidRPr="0039765C">
        <w:t>.</w:t>
      </w:r>
    </w:p>
    <w:p w:rsidR="0039765C" w:rsidRDefault="0039765C" w:rsidP="00FE1527">
      <w:pPr>
        <w:pStyle w:val="BodyText"/>
        <w:numPr>
          <w:ilvl w:val="0"/>
          <w:numId w:val="33"/>
        </w:numPr>
      </w:pPr>
      <w:r w:rsidRPr="0039765C">
        <w:t>The Interim Lender shall be entitled to the benefit of and is hereby granted a charge (the "</w:t>
      </w:r>
      <w:r w:rsidRPr="0039765C">
        <w:rPr>
          <w:b/>
        </w:rPr>
        <w:t>Interim Lender’s Charge</w:t>
      </w:r>
      <w:r w:rsidRPr="0039765C">
        <w:t>") on the Property. The Interim Lender's Charge shall not secure an obligation that exists before this Order is made.  The Interim Lender’s Charge shall have the pr</w:t>
      </w:r>
      <w:r w:rsidR="00DB399C">
        <w:t>iority set out in paragraph</w:t>
      </w:r>
      <w:r w:rsidR="006A744D">
        <w:t xml:space="preserve"> 10 (a)</w:t>
      </w:r>
      <w:r w:rsidR="00DB399C">
        <w:t xml:space="preserve"> hereof</w:t>
      </w:r>
      <w:r w:rsidR="006A744D">
        <w:t xml:space="preserve"> </w:t>
      </w:r>
      <w:r w:rsidR="00DB399C">
        <w:t>and in paragraphs 37-40 of the FARIO as amended by paragraph 10(b)</w:t>
      </w:r>
      <w:r w:rsidR="00DB399C" w:rsidRPr="0039765C">
        <w:t xml:space="preserve"> hereof</w:t>
      </w:r>
      <w:r w:rsidRPr="0039765C">
        <w:t>.</w:t>
      </w:r>
    </w:p>
    <w:p w:rsidR="00BD2475" w:rsidRDefault="00BD2475" w:rsidP="00FE1527">
      <w:pPr>
        <w:pStyle w:val="BodyText"/>
        <w:numPr>
          <w:ilvl w:val="0"/>
          <w:numId w:val="33"/>
        </w:numPr>
      </w:pPr>
      <w:r w:rsidRPr="00BD2475">
        <w:lastRenderedPageBreak/>
        <w:t>Notwithstanding any other provision of this Order:</w:t>
      </w:r>
    </w:p>
    <w:p w:rsidR="00BD2475" w:rsidRDefault="00BD2475" w:rsidP="00FE1527">
      <w:pPr>
        <w:pStyle w:val="BodyText"/>
        <w:numPr>
          <w:ilvl w:val="1"/>
          <w:numId w:val="33"/>
        </w:numPr>
      </w:pPr>
      <w:r w:rsidRPr="00BD2475">
        <w:t>the Interim Lender may take such steps from time to time as it may deem necessary or appropriate to file, register, record or perfect the Interim Lender’s Charge or any of the Definitive Documents;</w:t>
      </w:r>
    </w:p>
    <w:p w:rsidR="00BD2475" w:rsidRDefault="00BD2475" w:rsidP="00FE1527">
      <w:pPr>
        <w:pStyle w:val="BodyText"/>
        <w:numPr>
          <w:ilvl w:val="1"/>
          <w:numId w:val="33"/>
        </w:numPr>
      </w:pPr>
      <w:r w:rsidRPr="00BD2475">
        <w:t xml:space="preserve">upon the occurrence of an event of default under any of the Definitive Documents or the Interim Lender’s Charge, the Interim Lender, upon </w:t>
      </w:r>
      <w:r w:rsidR="00DB399C">
        <w:t>10</w:t>
      </w:r>
      <w:r w:rsidRPr="00BD2475">
        <w:t xml:space="preserve"> days notice to the Petitioner</w:t>
      </w:r>
      <w:r>
        <w:t>s</w:t>
      </w:r>
      <w:r w:rsidRPr="00BD2475">
        <w:t xml:space="preserve"> and the Monitor, may exercise any and all of its rights and remedies against the Petitioner</w:t>
      </w:r>
      <w:r>
        <w:t>s</w:t>
      </w:r>
      <w:r w:rsidRPr="00BD2475">
        <w:t xml:space="preserve"> or the Property under or pursuant to the Commitment Letter, Definitive Documents and the Interim Lender’s Charge, including without limitation, to cease making advances to the Petitioner</w:t>
      </w:r>
      <w:r>
        <w:t>s</w:t>
      </w:r>
      <w:r w:rsidRPr="00BD2475">
        <w:t xml:space="preserve"> and set off and/or consolidate any amounts owing by the Interim Lender to the Petitioner</w:t>
      </w:r>
      <w:r>
        <w:t>s</w:t>
      </w:r>
      <w:r w:rsidRPr="00BD2475">
        <w:t xml:space="preserve"> against the obligations of the Petitioner</w:t>
      </w:r>
      <w:r>
        <w:t>s</w:t>
      </w:r>
      <w:r w:rsidRPr="00BD2475">
        <w:t xml:space="preserve"> to the Interim Lender under the Commitment Letter, the Definitive Documents or the Interim Lender’s Charge, to make demand, accelerate payment and give other notices, or to apply to this Court for the appointment of a receiver, receiver and manager or interim receiver, or for a bankruptcy order against the Petitioner</w:t>
      </w:r>
      <w:r>
        <w:t>s</w:t>
      </w:r>
      <w:r w:rsidRPr="00BD2475">
        <w:t xml:space="preserve"> and for the appointment of a trustee in bankruptcy of the Petitioner</w:t>
      </w:r>
      <w:r>
        <w:t>s</w:t>
      </w:r>
      <w:r w:rsidRPr="00BD2475">
        <w:t>; and</w:t>
      </w:r>
    </w:p>
    <w:p w:rsidR="00BD2475" w:rsidRDefault="00BD2475" w:rsidP="00FE1527">
      <w:pPr>
        <w:pStyle w:val="BodyText"/>
        <w:numPr>
          <w:ilvl w:val="1"/>
          <w:numId w:val="33"/>
        </w:numPr>
      </w:pPr>
      <w:r w:rsidRPr="00BD2475">
        <w:t>the foregoing rights and remedies of the Interim Lender shall be enforceable against any trustee in bankruptcy, interim receiver, receiver or receiver and manager of the Petitioner</w:t>
      </w:r>
      <w:r>
        <w:t>s</w:t>
      </w:r>
      <w:r w:rsidRPr="00BD2475">
        <w:t xml:space="preserve"> or the Property.</w:t>
      </w:r>
    </w:p>
    <w:p w:rsidR="00BD2475" w:rsidRDefault="00BD2475" w:rsidP="00FE1527">
      <w:pPr>
        <w:pStyle w:val="BodyText"/>
        <w:numPr>
          <w:ilvl w:val="0"/>
          <w:numId w:val="33"/>
        </w:numPr>
      </w:pPr>
      <w:r w:rsidRPr="00BD2475">
        <w:t>The Interim Lender, in such capacity, shall be treated as unaffected in any plan of arrangement or compromise filed by the Petitioner</w:t>
      </w:r>
      <w:r>
        <w:t>s</w:t>
      </w:r>
      <w:r w:rsidRPr="00BD2475">
        <w:t xml:space="preserve"> under the CCAA, or any proposal filed by the Petitioner</w:t>
      </w:r>
      <w:r>
        <w:t>s</w:t>
      </w:r>
      <w:r w:rsidRPr="00BD2475">
        <w:t xml:space="preserve"> under the </w:t>
      </w:r>
      <w:r w:rsidRPr="00BD2475">
        <w:rPr>
          <w:i/>
        </w:rPr>
        <w:t>Bankruptcy and Insolvency Act</w:t>
      </w:r>
      <w:r w:rsidRPr="00BD2475">
        <w:t xml:space="preserve"> of Canada (the "</w:t>
      </w:r>
      <w:r w:rsidRPr="00BD2475">
        <w:rPr>
          <w:b/>
        </w:rPr>
        <w:t>BIA</w:t>
      </w:r>
      <w:r w:rsidRPr="00BD2475">
        <w:t>"), with respect to any advances made under the Definitive Documents.</w:t>
      </w:r>
    </w:p>
    <w:p w:rsidR="00BD2475" w:rsidRPr="00BD2475" w:rsidRDefault="00BD2475" w:rsidP="00FE1527">
      <w:pPr>
        <w:pStyle w:val="BodyText"/>
        <w:rPr>
          <w:b/>
        </w:rPr>
      </w:pPr>
      <w:r>
        <w:rPr>
          <w:b/>
        </w:rPr>
        <w:t>AUTHORIZATION TO PAY OUT DOMAIN</w:t>
      </w:r>
    </w:p>
    <w:p w:rsidR="00BD2475" w:rsidRDefault="00BD2475" w:rsidP="00FE1527">
      <w:pPr>
        <w:pStyle w:val="BodyText"/>
        <w:numPr>
          <w:ilvl w:val="0"/>
          <w:numId w:val="33"/>
        </w:numPr>
      </w:pPr>
      <w:r>
        <w:t xml:space="preserve">The Petitioners are hereby authorized, empowered and directed to apply the first proceeds from drawings upon the Commitment Letter to repayment of amounts due to Domain in </w:t>
      </w:r>
      <w:r>
        <w:lastRenderedPageBreak/>
        <w:t>respect of the New Loan Facility (as set out in the FARIO and as amended by Order of the Court pronounced on February 14, 2022)</w:t>
      </w:r>
      <w:r w:rsidR="00DB399C">
        <w:t xml:space="preserve"> in the principal amount of $16,500,00.00 plus any accrued interest and fees payable to Domain</w:t>
      </w:r>
      <w:r w:rsidR="00F740D0">
        <w:t xml:space="preserve"> thereunder</w:t>
      </w:r>
      <w:r>
        <w:t>.</w:t>
      </w:r>
    </w:p>
    <w:p w:rsidR="00BD2475" w:rsidRPr="00BD2475" w:rsidRDefault="00BD2475" w:rsidP="00FE1527">
      <w:pPr>
        <w:pStyle w:val="BodyText"/>
        <w:rPr>
          <w:b/>
        </w:rPr>
      </w:pPr>
      <w:r w:rsidRPr="00BD2475">
        <w:rPr>
          <w:b/>
        </w:rPr>
        <w:t>VALIDITY AND PRIORITY OF CHARGES</w:t>
      </w:r>
    </w:p>
    <w:p w:rsidR="00BF3FE7" w:rsidRDefault="00BD2475" w:rsidP="00FE1527">
      <w:pPr>
        <w:pStyle w:val="BodyText"/>
        <w:numPr>
          <w:ilvl w:val="0"/>
          <w:numId w:val="33"/>
        </w:numPr>
      </w:pPr>
      <w:r>
        <w:t>Upon repayment in full of Domain</w:t>
      </w:r>
      <w:r w:rsidR="00007041">
        <w:t xml:space="preserve"> pursuant to paragraph 9, above:</w:t>
      </w:r>
      <w:r>
        <w:t xml:space="preserve"> </w:t>
      </w:r>
    </w:p>
    <w:p w:rsidR="00BD2475" w:rsidRDefault="00BD2475" w:rsidP="00FE1527">
      <w:pPr>
        <w:pStyle w:val="BodyText"/>
        <w:numPr>
          <w:ilvl w:val="1"/>
          <w:numId w:val="33"/>
        </w:numPr>
      </w:pPr>
      <w:r>
        <w:t>t</w:t>
      </w:r>
      <w:r w:rsidRPr="00BD2475">
        <w:t>he prioritie</w:t>
      </w:r>
      <w:r>
        <w:t xml:space="preserve">s of the Administration Charge </w:t>
      </w:r>
      <w:r w:rsidRPr="00BD2475">
        <w:t>and the Interim Lender’s Charge, as among them, shall be as follows:</w:t>
      </w:r>
    </w:p>
    <w:p w:rsidR="00BD2475" w:rsidRDefault="00BF3FE7" w:rsidP="00FE1527">
      <w:pPr>
        <w:pStyle w:val="BodyText"/>
        <w:numPr>
          <w:ilvl w:val="2"/>
          <w:numId w:val="33"/>
        </w:numPr>
      </w:pPr>
      <w:r w:rsidRPr="00BF3FE7">
        <w:t>First – Administration Charge (to the maximum amount of</w:t>
      </w:r>
      <w:r>
        <w:t xml:space="preserve"> $100,000); </w:t>
      </w:r>
    </w:p>
    <w:p w:rsidR="00BF3FE7" w:rsidRDefault="00BF3FE7" w:rsidP="00FE1527">
      <w:pPr>
        <w:pStyle w:val="BodyText"/>
        <w:numPr>
          <w:ilvl w:val="2"/>
          <w:numId w:val="33"/>
        </w:numPr>
      </w:pPr>
      <w:r w:rsidRPr="00BF3FE7">
        <w:t>Second –  Interim Lender’s Charge</w:t>
      </w:r>
      <w:r>
        <w:t>; and</w:t>
      </w:r>
    </w:p>
    <w:p w:rsidR="00BF3FE7" w:rsidRDefault="00007041" w:rsidP="00FE1527">
      <w:pPr>
        <w:pStyle w:val="BodyText"/>
        <w:numPr>
          <w:ilvl w:val="1"/>
          <w:numId w:val="33"/>
        </w:numPr>
      </w:pPr>
      <w:r>
        <w:t>paragraphs 37-40 of the FARIO shall be replaced with the following:</w:t>
      </w:r>
    </w:p>
    <w:p w:rsidR="00007041" w:rsidRDefault="00007041" w:rsidP="00007041"/>
    <w:p w:rsidR="00007041" w:rsidRDefault="00007041" w:rsidP="00007041">
      <w:pPr>
        <w:ind w:left="1080" w:right="720"/>
      </w:pPr>
      <w:r>
        <w:t>37.</w:t>
      </w:r>
      <w:r>
        <w:tab/>
      </w:r>
      <w:r>
        <w:tab/>
        <w:t>Any security documentation evidencing, or the filing, registration or perfection of, the Administration Charge and the Interim Lender’s Charge (collectively, the “</w:t>
      </w:r>
      <w:r w:rsidRPr="00007041">
        <w:rPr>
          <w:b/>
        </w:rPr>
        <w:t>Charges</w:t>
      </w:r>
      <w:r>
        <w:t xml:space="preserve">”) shall not be required, and that the Charges shall be effective as against the Property and shall be valid and enforceable  for all purposes, including as against any right, title or interest filed, registered or perfected subsequent to the Charges coming into existence, notwithstanding any failure to file, register or perfect any such Charges.  </w:t>
      </w:r>
    </w:p>
    <w:p w:rsidR="00007041" w:rsidRDefault="00007041" w:rsidP="00007041">
      <w:pPr>
        <w:ind w:left="1080" w:right="720"/>
      </w:pPr>
    </w:p>
    <w:p w:rsidR="00007041" w:rsidRDefault="00007041" w:rsidP="00007041">
      <w:pPr>
        <w:ind w:left="1080" w:right="720"/>
      </w:pPr>
      <w:r>
        <w:t>38.</w:t>
      </w:r>
      <w:r>
        <w:tab/>
      </w:r>
      <w:r>
        <w:tab/>
        <w:t>Each of the Charges shall constitute a mortgage, security interest, assignment by way of security and charge on the Property and such Charges shall rank in priority to all other security interests, trusts, liens, mortgages, charges and encumbrances and claims of secured creditors, statutory or otherwise (collectively, “</w:t>
      </w:r>
      <w:r w:rsidRPr="00007041">
        <w:rPr>
          <w:b/>
        </w:rPr>
        <w:t>Encumbrances</w:t>
      </w:r>
      <w:r>
        <w:t xml:space="preserve">”), in favour of any Person, save and except those claims contemplated by section 11.8(8) of the CCAA. </w:t>
      </w:r>
    </w:p>
    <w:p w:rsidR="00007041" w:rsidRDefault="00007041" w:rsidP="00007041">
      <w:pPr>
        <w:ind w:left="1080" w:right="720"/>
      </w:pPr>
    </w:p>
    <w:p w:rsidR="00007041" w:rsidRDefault="00007041" w:rsidP="00007041">
      <w:pPr>
        <w:ind w:left="1080" w:right="720"/>
      </w:pPr>
      <w:r>
        <w:t>39.</w:t>
      </w:r>
      <w:r>
        <w:tab/>
      </w:r>
      <w:r>
        <w:tab/>
        <w:t xml:space="preserve">Except as otherwise expressly provided herein, or as may be approved by this Court, the Petitioner shall not grant or suffer to exist any Encumbrances over any Property that rank in priority to, or </w:t>
      </w:r>
      <w:r w:rsidRPr="00007041">
        <w:rPr>
          <w:i/>
        </w:rPr>
        <w:t>pari passu</w:t>
      </w:r>
      <w:r>
        <w:t xml:space="preserve"> with the Charges, unless the Petitioner obtains the prior written consent of the Monitor, the Interim Lender and the beneficiaries of the Administration Charge.</w:t>
      </w:r>
    </w:p>
    <w:p w:rsidR="00007041" w:rsidRDefault="00007041" w:rsidP="00007041">
      <w:pPr>
        <w:ind w:left="1080" w:right="720"/>
      </w:pPr>
    </w:p>
    <w:p w:rsidR="00007041" w:rsidRDefault="00007041" w:rsidP="00007041">
      <w:pPr>
        <w:ind w:left="1080" w:right="720"/>
      </w:pPr>
      <w:r>
        <w:lastRenderedPageBreak/>
        <w:t>40.</w:t>
      </w:r>
      <w:r>
        <w:tab/>
      </w:r>
      <w:r>
        <w:tab/>
        <w:t>The Administration Charge, the Commitment Letter, the Definitive Documents and the Interim Lender’s Charge shall not be rendered invalid or unenforceable and the rights and remedies of the chargees entitled to the benefit of the Charges (collectively, the “</w:t>
      </w:r>
      <w:r w:rsidRPr="00007041">
        <w:rPr>
          <w:b/>
        </w:rPr>
        <w:t>Chargees</w:t>
      </w:r>
      <w:r>
        <w:t>”) and/or the Interim Lender shall not otherwise be limited or impaired in any way by (a) the pendency of these proceedings and the declarations of insolvency made herein; (b) any application(s) for bankruptcy order(s) issued pursuant to the BIA, or any bankruptcy order made pursuant to such applications; (c) the filing of any assignments for the general benefit of creditors made pursuant to the BIA; (d) the provisions of any federal or provincial statutes; or (e) any negative covenants, prohibitions or other similar provisions with respect to borrowings, incurring debt or the creation of Encumbrances, contained in any existing loan documents, lease, mortgage, security agreement, debenture, sublease, offer to lease or other agreement (collectively, an “</w:t>
      </w:r>
      <w:r w:rsidRPr="00007041">
        <w:rPr>
          <w:b/>
        </w:rPr>
        <w:t>Agreement</w:t>
      </w:r>
      <w:r>
        <w:t>”) which binds the Petitioner; and notwithstanding any provision to the contrary in any Agreement:</w:t>
      </w:r>
    </w:p>
    <w:p w:rsidR="00007041" w:rsidRDefault="00007041" w:rsidP="00007041">
      <w:pPr>
        <w:ind w:left="1080" w:right="720"/>
      </w:pPr>
    </w:p>
    <w:p w:rsidR="00007041" w:rsidRDefault="00007041" w:rsidP="00007041">
      <w:pPr>
        <w:ind w:left="2160" w:right="720" w:hanging="720"/>
      </w:pPr>
      <w:r>
        <w:t>(a)</w:t>
      </w:r>
      <w:r>
        <w:tab/>
        <w:t xml:space="preserve">neither the creation of the Charges nor the execution, delivery, perfection, registration or performance of the Commitment Letter or the Definitive Documents shall create or be deemed to constitute a breach by the Petitioner of any Agreement to which it is a party; </w:t>
      </w:r>
    </w:p>
    <w:p w:rsidR="00007041" w:rsidRDefault="00007041" w:rsidP="00007041">
      <w:pPr>
        <w:ind w:left="1440" w:right="720"/>
      </w:pPr>
    </w:p>
    <w:p w:rsidR="00007041" w:rsidRDefault="00007041" w:rsidP="00007041">
      <w:pPr>
        <w:ind w:left="2160" w:right="720" w:hanging="720"/>
      </w:pPr>
      <w:r>
        <w:t>(b)</w:t>
      </w:r>
      <w:r>
        <w:tab/>
        <w:t>none of the Chargees shall have any liability to any Person whatsoever as a result of any breach of any Agreement caused by or resulting from the Petitioner entering into the Commitment Letter, the creation of the Charges, or the execution, delivery or performance of the Definitive Documents; and</w:t>
      </w:r>
    </w:p>
    <w:p w:rsidR="00007041" w:rsidRDefault="00007041" w:rsidP="00007041">
      <w:pPr>
        <w:ind w:left="1440" w:right="720"/>
      </w:pPr>
    </w:p>
    <w:p w:rsidR="00007041" w:rsidRDefault="00007041" w:rsidP="00007041">
      <w:pPr>
        <w:ind w:left="2160" w:right="720" w:hanging="720"/>
      </w:pPr>
      <w:r>
        <w:t>(c)</w:t>
      </w:r>
      <w:r>
        <w:tab/>
        <w:t>the payments made by the Petitioner pursuant to this Order, the Commitment Letter or the Definitive Documents, and the granting of the Charges, do not and will not constitute preferences, fraudulent conveyances, transfers at undervalue, oppressive conduct, or other challengeable or voidable transactions under any applicable law.;</w:t>
      </w:r>
    </w:p>
    <w:p w:rsidR="00BF3FE7" w:rsidRDefault="00007041" w:rsidP="00FE1527">
      <w:pPr>
        <w:pStyle w:val="BodyText"/>
        <w:numPr>
          <w:ilvl w:val="1"/>
          <w:numId w:val="33"/>
        </w:numPr>
      </w:pPr>
      <w:r>
        <w:t>the Interim Lender shall be entitled to the same information and consultation as the New Lenders pursuant to paragraphs 25(c) and 28 of the FARIO; and</w:t>
      </w:r>
    </w:p>
    <w:p w:rsidR="00007041" w:rsidRDefault="00007041" w:rsidP="00FE1527">
      <w:pPr>
        <w:pStyle w:val="BodyText"/>
        <w:numPr>
          <w:ilvl w:val="1"/>
          <w:numId w:val="33"/>
        </w:numPr>
      </w:pPr>
      <w:r>
        <w:t>notwithstanding any provision to the contrary in the FARIO,</w:t>
      </w:r>
      <w:r w:rsidR="00FE1527">
        <w:t xml:space="preserve"> the obligations of the Petitioners to</w:t>
      </w:r>
      <w:r>
        <w:t xml:space="preserve"> 129 and Numberco</w:t>
      </w:r>
      <w:r w:rsidR="00FE1527">
        <w:t xml:space="preserve"> shall be fully subordinated to those of the Petitioners to the Interim Lender and 129 and Numberco shall not be entitled to exercise any rights and remedies as against the Petitioners without the consent of the Interim Lender.</w:t>
      </w:r>
    </w:p>
    <w:p w:rsidR="006D2097" w:rsidRPr="006D2097" w:rsidRDefault="006D2097" w:rsidP="00FE1527">
      <w:pPr>
        <w:pStyle w:val="BodyText"/>
        <w:keepNext/>
        <w:rPr>
          <w:b/>
        </w:rPr>
      </w:pPr>
      <w:r>
        <w:rPr>
          <w:b/>
        </w:rPr>
        <w:lastRenderedPageBreak/>
        <w:t>STAY EXTENSION</w:t>
      </w:r>
    </w:p>
    <w:p w:rsidR="006D2097" w:rsidRDefault="003F718E" w:rsidP="00FE1527">
      <w:pPr>
        <w:pStyle w:val="BodyText"/>
        <w:numPr>
          <w:ilvl w:val="0"/>
          <w:numId w:val="33"/>
        </w:numPr>
      </w:pPr>
      <w:r>
        <w:t xml:space="preserve">The stay of proceedings provided for in the Initial Order pronounced in </w:t>
      </w:r>
      <w:r w:rsidR="00B41D8C">
        <w:t>this action</w:t>
      </w:r>
      <w:r>
        <w:t xml:space="preserve"> on May 29, 2020, as amended and restated on June 8, 2020</w:t>
      </w:r>
      <w:r w:rsidR="006D2097">
        <w:t>, and further extended by Order</w:t>
      </w:r>
      <w:r w:rsidR="000D49CC">
        <w:t>s</w:t>
      </w:r>
      <w:r w:rsidR="006D2097">
        <w:t xml:space="preserve"> of this Court pronounced</w:t>
      </w:r>
      <w:r w:rsidR="000D49CC">
        <w:t xml:space="preserve"> Februa</w:t>
      </w:r>
      <w:r w:rsidR="002A60FA">
        <w:t xml:space="preserve">ry 24, 2021, April 16, 2021, </w:t>
      </w:r>
      <w:r w:rsidR="000D49CC">
        <w:t>June 11, 2021,</w:t>
      </w:r>
      <w:r w:rsidR="006D2097">
        <w:t xml:space="preserve"> </w:t>
      </w:r>
      <w:r w:rsidR="00E47863">
        <w:t xml:space="preserve">and further extended by </w:t>
      </w:r>
      <w:r w:rsidR="00027FB6">
        <w:t>the Order of the Court of Appeal (Court of Appeal File No. CA-47585) pronounced as of September 22, 2021</w:t>
      </w:r>
      <w:r w:rsidR="000D49CC">
        <w:t>,</w:t>
      </w:r>
      <w:r w:rsidR="0039765C">
        <w:t xml:space="preserve"> and by Order of this Court pronounced April 29, 2022</w:t>
      </w:r>
      <w:r w:rsidR="000D49CC">
        <w:t xml:space="preserve"> </w:t>
      </w:r>
      <w:r>
        <w:t xml:space="preserve">is hereby continued and extended to and including </w:t>
      </w:r>
      <w:r w:rsidR="002A60FA">
        <w:t>September 30</w:t>
      </w:r>
      <w:r w:rsidR="00E47863">
        <w:t>, 2022</w:t>
      </w:r>
      <w:r>
        <w:t>.</w:t>
      </w:r>
    </w:p>
    <w:p w:rsidR="006D2097" w:rsidRPr="006D2097" w:rsidRDefault="006D2097" w:rsidP="00FE1527">
      <w:pPr>
        <w:pStyle w:val="BodyText"/>
        <w:rPr>
          <w:b/>
        </w:rPr>
      </w:pPr>
      <w:r>
        <w:rPr>
          <w:b/>
        </w:rPr>
        <w:t>GENERAL</w:t>
      </w:r>
    </w:p>
    <w:p w:rsidR="004F1E1A" w:rsidRPr="004C1305" w:rsidRDefault="004F1E1A" w:rsidP="00FE1527">
      <w:pPr>
        <w:pStyle w:val="BodyText"/>
        <w:numPr>
          <w:ilvl w:val="0"/>
          <w:numId w:val="33"/>
        </w:numPr>
      </w:pPr>
      <w:r>
        <w:t xml:space="preserve">Endorsement of this Order by counsel appearing on this application other than counsel for the Petitioners is hereby dispensed with. </w:t>
      </w:r>
    </w:p>
    <w:p w:rsidR="00104203" w:rsidRPr="004C1305" w:rsidRDefault="00104203" w:rsidP="00104203">
      <w:pPr>
        <w:pStyle w:val="bodytextindent0"/>
        <w:spacing w:line="240" w:lineRule="auto"/>
        <w:jc w:val="left"/>
        <w:rPr>
          <w:szCs w:val="24"/>
        </w:rPr>
      </w:pPr>
      <w:r w:rsidRPr="004C1305">
        <w:rPr>
          <w:szCs w:val="24"/>
        </w:rPr>
        <w:t>THE FOLLOWING PARTIES APPROVE THE FORM OF THIS ORDER AND CONSENT TO EACH OF THE ORDERS, IF ANY, THAT ARE INDICATED ABOVE AS BEING BY CONSENT:</w:t>
      </w:r>
    </w:p>
    <w:p w:rsidR="003F718E" w:rsidRPr="004C1305" w:rsidRDefault="003F718E" w:rsidP="00104203">
      <w:pPr>
        <w:keepNext/>
      </w:pPr>
    </w:p>
    <w:tbl>
      <w:tblPr>
        <w:tblW w:w="0" w:type="auto"/>
        <w:tblLayout w:type="fixed"/>
        <w:tblCellMar>
          <w:left w:w="0" w:type="dxa"/>
          <w:right w:w="0" w:type="dxa"/>
        </w:tblCellMar>
        <w:tblLook w:val="0000" w:firstRow="0" w:lastRow="0" w:firstColumn="0" w:lastColumn="0" w:noHBand="0" w:noVBand="0"/>
      </w:tblPr>
      <w:tblGrid>
        <w:gridCol w:w="5040"/>
      </w:tblGrid>
      <w:tr w:rsidR="00104203" w:rsidTr="004D0874">
        <w:trPr>
          <w:cantSplit/>
          <w:trHeight w:val="670"/>
        </w:trPr>
        <w:tc>
          <w:tcPr>
            <w:tcW w:w="5040" w:type="dxa"/>
            <w:tcBorders>
              <w:bottom w:val="single" w:sz="4" w:space="0" w:color="auto"/>
            </w:tcBorders>
          </w:tcPr>
          <w:p w:rsidR="00104203" w:rsidRPr="004C1305" w:rsidRDefault="00104203" w:rsidP="004D0874">
            <w:pPr>
              <w:pStyle w:val="signtableleft"/>
            </w:pPr>
          </w:p>
        </w:tc>
      </w:tr>
      <w:tr w:rsidR="00104203" w:rsidTr="004D0874">
        <w:trPr>
          <w:cantSplit/>
          <w:trHeight w:val="800"/>
        </w:trPr>
        <w:tc>
          <w:tcPr>
            <w:tcW w:w="5040" w:type="dxa"/>
            <w:tcBorders>
              <w:top w:val="single" w:sz="4" w:space="0" w:color="auto"/>
            </w:tcBorders>
          </w:tcPr>
          <w:p w:rsidR="00104203" w:rsidRPr="004C1305" w:rsidRDefault="00104203" w:rsidP="00E47863">
            <w:pPr>
              <w:pStyle w:val="signtableleft"/>
            </w:pPr>
            <w:r w:rsidRPr="004C1305">
              <w:t>Signature of</w:t>
            </w:r>
            <w:r>
              <w:t xml:space="preserve"> </w:t>
            </w:r>
            <w:r w:rsidR="00E47863">
              <w:t>David Gruber</w:t>
            </w:r>
            <w:r w:rsidRPr="004C1305">
              <w:br/>
              <w:t>Lawyer for the Petitioners</w:t>
            </w:r>
          </w:p>
        </w:tc>
      </w:tr>
      <w:tr w:rsidR="00104203" w:rsidTr="004D0874">
        <w:trPr>
          <w:cantSplit/>
          <w:trHeight w:val="332"/>
        </w:trPr>
        <w:tc>
          <w:tcPr>
            <w:tcW w:w="5040" w:type="dxa"/>
          </w:tcPr>
          <w:p w:rsidR="00104203" w:rsidRPr="004C1305" w:rsidRDefault="00104203" w:rsidP="004D0874">
            <w:pPr>
              <w:pStyle w:val="signtableleft"/>
              <w:rPr>
                <w:color w:val="FF0000"/>
              </w:rPr>
            </w:pPr>
          </w:p>
        </w:tc>
      </w:tr>
    </w:tbl>
    <w:p w:rsidR="00104203" w:rsidRPr="004C1305" w:rsidRDefault="00104203" w:rsidP="00104203">
      <w:pPr>
        <w:keepNext/>
      </w:pPr>
    </w:p>
    <w:tbl>
      <w:tblPr>
        <w:tblW w:w="0" w:type="auto"/>
        <w:tblLayout w:type="fixed"/>
        <w:tblCellMar>
          <w:left w:w="0" w:type="dxa"/>
          <w:right w:w="0" w:type="dxa"/>
        </w:tblCellMar>
        <w:tblLook w:val="0000" w:firstRow="0" w:lastRow="0" w:firstColumn="0" w:lastColumn="0" w:noHBand="0" w:noVBand="0"/>
      </w:tblPr>
      <w:tblGrid>
        <w:gridCol w:w="5040"/>
        <w:gridCol w:w="4320"/>
      </w:tblGrid>
      <w:tr w:rsidR="00104203" w:rsidTr="004D0874">
        <w:trPr>
          <w:cantSplit/>
        </w:trPr>
        <w:tc>
          <w:tcPr>
            <w:tcW w:w="5040" w:type="dxa"/>
          </w:tcPr>
          <w:p w:rsidR="00104203" w:rsidRPr="004C1305" w:rsidRDefault="00104203" w:rsidP="004D0874">
            <w:pPr>
              <w:pStyle w:val="signtableleft"/>
            </w:pPr>
          </w:p>
        </w:tc>
        <w:tc>
          <w:tcPr>
            <w:tcW w:w="4320" w:type="dxa"/>
            <w:tcBorders>
              <w:bottom w:val="single" w:sz="4" w:space="0" w:color="auto"/>
            </w:tcBorders>
          </w:tcPr>
          <w:p w:rsidR="00104203" w:rsidRPr="004C1305" w:rsidRDefault="00104203" w:rsidP="004D0874">
            <w:pPr>
              <w:pStyle w:val="signtableleft"/>
            </w:pPr>
            <w:r w:rsidRPr="004C1305">
              <w:t>BY THE COURT</w:t>
            </w:r>
          </w:p>
          <w:p w:rsidR="00104203" w:rsidRPr="004C1305" w:rsidRDefault="00104203" w:rsidP="004D0874">
            <w:pPr>
              <w:pStyle w:val="signtableleft"/>
            </w:pPr>
          </w:p>
          <w:p w:rsidR="00104203" w:rsidRPr="004C1305" w:rsidRDefault="00104203" w:rsidP="004D0874">
            <w:pPr>
              <w:pStyle w:val="signtableleft"/>
            </w:pPr>
          </w:p>
          <w:p w:rsidR="00104203" w:rsidRPr="004C1305" w:rsidRDefault="00104203" w:rsidP="004D0874">
            <w:pPr>
              <w:pStyle w:val="signtableleft"/>
            </w:pPr>
          </w:p>
          <w:p w:rsidR="00104203" w:rsidRPr="004C1305" w:rsidRDefault="00104203" w:rsidP="004D0874">
            <w:pPr>
              <w:pStyle w:val="signtableleft"/>
            </w:pPr>
          </w:p>
        </w:tc>
      </w:tr>
      <w:tr w:rsidR="00104203" w:rsidTr="004D0874">
        <w:trPr>
          <w:cantSplit/>
        </w:trPr>
        <w:tc>
          <w:tcPr>
            <w:tcW w:w="5040" w:type="dxa"/>
          </w:tcPr>
          <w:p w:rsidR="00104203" w:rsidRPr="004C1305" w:rsidRDefault="00104203" w:rsidP="004D0874">
            <w:pPr>
              <w:pStyle w:val="signtableleft"/>
            </w:pPr>
          </w:p>
        </w:tc>
        <w:tc>
          <w:tcPr>
            <w:tcW w:w="4320" w:type="dxa"/>
            <w:tcBorders>
              <w:top w:val="single" w:sz="4" w:space="0" w:color="auto"/>
            </w:tcBorders>
          </w:tcPr>
          <w:p w:rsidR="00104203" w:rsidRPr="004C1305" w:rsidRDefault="00104203" w:rsidP="004D0874">
            <w:pPr>
              <w:pStyle w:val="signtableleft"/>
            </w:pPr>
            <w:r w:rsidRPr="004C1305">
              <w:t>REGISTRAR</w:t>
            </w:r>
          </w:p>
        </w:tc>
      </w:tr>
    </w:tbl>
    <w:p w:rsidR="00104203" w:rsidRDefault="00104203" w:rsidP="00104203">
      <w:pPr>
        <w:pStyle w:val="BodyText"/>
        <w:jc w:val="left"/>
      </w:pPr>
    </w:p>
    <w:p w:rsidR="00E47863" w:rsidRDefault="00E47863">
      <w:r>
        <w:br w:type="page"/>
      </w:r>
    </w:p>
    <w:p w:rsidR="00104203" w:rsidRPr="004C1305" w:rsidRDefault="00104203" w:rsidP="00A9694D">
      <w:pPr>
        <w:pStyle w:val="BodyText"/>
        <w:jc w:val="center"/>
        <w:rPr>
          <w:b/>
          <w:u w:val="single"/>
        </w:rPr>
      </w:pPr>
      <w:r w:rsidRPr="004C1305">
        <w:rPr>
          <w:b/>
          <w:u w:val="single"/>
        </w:rPr>
        <w:lastRenderedPageBreak/>
        <w:t xml:space="preserve">Schedule </w:t>
      </w:r>
      <w:r>
        <w:rPr>
          <w:b/>
          <w:u w:val="single"/>
        </w:rPr>
        <w:t>"A"</w:t>
      </w:r>
    </w:p>
    <w:p w:rsidR="00104203" w:rsidRDefault="00104203" w:rsidP="00104203">
      <w:pPr>
        <w:pStyle w:val="BodyText"/>
        <w:spacing w:before="240"/>
        <w:jc w:val="center"/>
      </w:pPr>
      <w:r w:rsidRPr="004C1305">
        <w:t>(List of Counsel)</w:t>
      </w:r>
    </w:p>
    <w:tbl>
      <w:tblPr>
        <w:tblStyle w:val="TableGrid"/>
        <w:tblW w:w="0" w:type="auto"/>
        <w:tblLook w:val="04A0" w:firstRow="1" w:lastRow="0" w:firstColumn="1" w:lastColumn="0" w:noHBand="0" w:noVBand="1"/>
      </w:tblPr>
      <w:tblGrid>
        <w:gridCol w:w="4788"/>
        <w:gridCol w:w="4788"/>
      </w:tblGrid>
      <w:tr w:rsidR="00104203" w:rsidTr="004D0874">
        <w:tc>
          <w:tcPr>
            <w:tcW w:w="4788" w:type="dxa"/>
          </w:tcPr>
          <w:p w:rsidR="00104203" w:rsidRPr="00A269F1" w:rsidRDefault="00104203" w:rsidP="004D0874">
            <w:pPr>
              <w:pStyle w:val="BodyText"/>
              <w:jc w:val="left"/>
              <w:rPr>
                <w:b/>
              </w:rPr>
            </w:pPr>
            <w:r w:rsidRPr="00A269F1">
              <w:rPr>
                <w:b/>
              </w:rPr>
              <w:t>Counsel name/litigant</w:t>
            </w:r>
          </w:p>
        </w:tc>
        <w:tc>
          <w:tcPr>
            <w:tcW w:w="4788" w:type="dxa"/>
          </w:tcPr>
          <w:p w:rsidR="00104203" w:rsidRPr="00A269F1" w:rsidRDefault="00104203" w:rsidP="004D0874">
            <w:pPr>
              <w:pStyle w:val="BodyText"/>
              <w:jc w:val="left"/>
              <w:rPr>
                <w:b/>
              </w:rPr>
            </w:pPr>
            <w:r w:rsidRPr="00A269F1">
              <w:rPr>
                <w:b/>
              </w:rPr>
              <w:t>Party represented</w:t>
            </w:r>
          </w:p>
        </w:tc>
      </w:tr>
      <w:tr w:rsidR="00E47863" w:rsidTr="004D0874">
        <w:tc>
          <w:tcPr>
            <w:tcW w:w="4788" w:type="dxa"/>
          </w:tcPr>
          <w:p w:rsidR="00E47863" w:rsidRDefault="00E47863" w:rsidP="00C36FAA">
            <w:pPr>
              <w:pStyle w:val="BodyText"/>
              <w:spacing w:beforeLines="60" w:before="144" w:afterLines="60" w:after="144" w:line="240" w:lineRule="auto"/>
              <w:jc w:val="left"/>
            </w:pPr>
            <w:r>
              <w:t xml:space="preserve">Scott Stephens </w:t>
            </w:r>
          </w:p>
        </w:tc>
        <w:tc>
          <w:tcPr>
            <w:tcW w:w="4788" w:type="dxa"/>
          </w:tcPr>
          <w:p w:rsidR="00E47863" w:rsidRDefault="00E47863" w:rsidP="00C36FAA">
            <w:pPr>
              <w:pStyle w:val="BodyText"/>
              <w:spacing w:beforeLines="60" w:before="144" w:afterLines="60" w:after="144" w:line="240" w:lineRule="auto"/>
              <w:jc w:val="left"/>
            </w:pPr>
            <w:r>
              <w:t>Domain Mortgage Corp.</w:t>
            </w:r>
          </w:p>
        </w:tc>
      </w:tr>
      <w:tr w:rsidR="00E47863" w:rsidTr="004D0874">
        <w:tc>
          <w:tcPr>
            <w:tcW w:w="4788" w:type="dxa"/>
          </w:tcPr>
          <w:p w:rsidR="00E47863" w:rsidRDefault="00E47863" w:rsidP="00C36FAA">
            <w:pPr>
              <w:pStyle w:val="BodyText"/>
              <w:spacing w:beforeLines="60" w:before="144" w:afterLines="60" w:after="144" w:line="240" w:lineRule="auto"/>
              <w:jc w:val="left"/>
            </w:pPr>
            <w:r>
              <w:t>William Roberts</w:t>
            </w:r>
          </w:p>
        </w:tc>
        <w:tc>
          <w:tcPr>
            <w:tcW w:w="4788" w:type="dxa"/>
          </w:tcPr>
          <w:p w:rsidR="00E47863" w:rsidRDefault="00E47863" w:rsidP="00C36FAA">
            <w:pPr>
              <w:pStyle w:val="BodyText"/>
              <w:spacing w:beforeLines="60" w:before="144" w:afterLines="60" w:after="144" w:line="240" w:lineRule="auto"/>
              <w:jc w:val="left"/>
            </w:pPr>
            <w:r w:rsidRPr="006E6695">
              <w:t>Aviva Insurance Company of Canada</w:t>
            </w:r>
            <w:r>
              <w:t xml:space="preserve"> </w:t>
            </w:r>
          </w:p>
        </w:tc>
      </w:tr>
      <w:tr w:rsidR="00E47863" w:rsidTr="004D0874">
        <w:tc>
          <w:tcPr>
            <w:tcW w:w="4788" w:type="dxa"/>
          </w:tcPr>
          <w:p w:rsidR="00E47863" w:rsidRDefault="00E47863" w:rsidP="00C36FAA">
            <w:pPr>
              <w:pStyle w:val="BodyText"/>
              <w:spacing w:beforeLines="60" w:before="144" w:afterLines="60" w:after="144" w:line="240" w:lineRule="auto"/>
              <w:jc w:val="left"/>
            </w:pPr>
            <w:r>
              <w:t xml:space="preserve">Peter Rubin </w:t>
            </w:r>
          </w:p>
        </w:tc>
        <w:tc>
          <w:tcPr>
            <w:tcW w:w="4788" w:type="dxa"/>
          </w:tcPr>
          <w:p w:rsidR="00E47863" w:rsidRDefault="00E47863" w:rsidP="00C36FAA">
            <w:pPr>
              <w:pStyle w:val="BodyText"/>
              <w:spacing w:beforeLines="60" w:before="144" w:afterLines="60" w:after="144" w:line="240" w:lineRule="auto"/>
              <w:jc w:val="left"/>
            </w:pPr>
            <w:r>
              <w:t>The Monitor</w:t>
            </w:r>
          </w:p>
        </w:tc>
      </w:tr>
      <w:tr w:rsidR="00104203" w:rsidTr="004D0874">
        <w:tc>
          <w:tcPr>
            <w:tcW w:w="4788" w:type="dxa"/>
          </w:tcPr>
          <w:p w:rsidR="00104203" w:rsidRDefault="00E47863" w:rsidP="00C36FAA">
            <w:pPr>
              <w:pStyle w:val="BodyText"/>
              <w:spacing w:before="60" w:afterLines="60" w:after="144" w:line="240" w:lineRule="auto"/>
              <w:jc w:val="left"/>
            </w:pPr>
            <w:r>
              <w:t>Jordan Shultz</w:t>
            </w:r>
          </w:p>
        </w:tc>
        <w:tc>
          <w:tcPr>
            <w:tcW w:w="4788" w:type="dxa"/>
          </w:tcPr>
          <w:p w:rsidR="00104203" w:rsidRDefault="00E47863" w:rsidP="00C36FAA">
            <w:pPr>
              <w:pStyle w:val="BodyText"/>
              <w:spacing w:before="60" w:afterLines="60" w:after="144" w:line="240" w:lineRule="auto"/>
              <w:jc w:val="left"/>
            </w:pPr>
            <w:r>
              <w:t>Macario Reyes and 1296371 B.C. Ltd.</w:t>
            </w: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bookmarkStart w:id="0" w:name="_GoBack"/>
            <w:bookmarkEnd w:id="0"/>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r w:rsidR="00214CCC" w:rsidTr="004D0874">
        <w:tc>
          <w:tcPr>
            <w:tcW w:w="4788" w:type="dxa"/>
          </w:tcPr>
          <w:p w:rsidR="00214CCC" w:rsidRDefault="00214CCC" w:rsidP="004D0874">
            <w:pPr>
              <w:pStyle w:val="BodyText"/>
              <w:jc w:val="left"/>
            </w:pPr>
          </w:p>
        </w:tc>
        <w:tc>
          <w:tcPr>
            <w:tcW w:w="4788" w:type="dxa"/>
          </w:tcPr>
          <w:p w:rsidR="00214CCC" w:rsidRDefault="00214CCC" w:rsidP="004D0874">
            <w:pPr>
              <w:pStyle w:val="BodyText"/>
              <w:jc w:val="left"/>
            </w:pPr>
          </w:p>
        </w:tc>
      </w:tr>
    </w:tbl>
    <w:p w:rsidR="00104203" w:rsidRDefault="00104203" w:rsidP="00104203">
      <w:pPr>
        <w:pStyle w:val="BodyText"/>
        <w:jc w:val="left"/>
      </w:pPr>
    </w:p>
    <w:p w:rsidR="002A60FA" w:rsidRDefault="002A60FA">
      <w:r>
        <w:br w:type="page"/>
      </w:r>
    </w:p>
    <w:p w:rsidR="002A60FA" w:rsidRPr="002A60FA" w:rsidRDefault="002A60FA" w:rsidP="002A60FA">
      <w:pPr>
        <w:spacing w:before="360"/>
        <w:jc w:val="right"/>
      </w:pPr>
      <w:r w:rsidRPr="002A60FA">
        <w:lastRenderedPageBreak/>
        <w:t>No. S-205095</w:t>
      </w:r>
    </w:p>
    <w:p w:rsidR="002A60FA" w:rsidRPr="002A60FA" w:rsidRDefault="002A60FA" w:rsidP="002A60FA">
      <w:pPr>
        <w:jc w:val="right"/>
      </w:pPr>
      <w:r w:rsidRPr="002A60FA">
        <w:rPr>
          <w:noProof/>
          <w:lang w:val="en-GB"/>
        </w:rPr>
        <w:t>Vancouver</w:t>
      </w:r>
      <w:r w:rsidRPr="002A60FA">
        <w:t xml:space="preserve"> Registry</w:t>
      </w:r>
    </w:p>
    <w:p w:rsidR="002A60FA" w:rsidRPr="002A60FA" w:rsidRDefault="002A60FA" w:rsidP="002A60FA">
      <w:pPr>
        <w:spacing w:after="240"/>
        <w:jc w:val="center"/>
        <w:rPr>
          <w:b/>
          <w:lang w:val="en-US"/>
        </w:rPr>
      </w:pPr>
      <w:r w:rsidRPr="002A60FA">
        <w:rPr>
          <w:b/>
          <w:lang w:val="en-US"/>
        </w:rPr>
        <w:t xml:space="preserve"> </w:t>
      </w:r>
    </w:p>
    <w:p w:rsidR="002A60FA" w:rsidRPr="002A60FA" w:rsidRDefault="002A60FA" w:rsidP="002A60FA">
      <w:pPr>
        <w:spacing w:after="240"/>
        <w:jc w:val="center"/>
        <w:rPr>
          <w:b/>
          <w:lang w:val="en-US"/>
        </w:rPr>
      </w:pPr>
      <w:r w:rsidRPr="002A60FA">
        <w:rPr>
          <w:b/>
          <w:lang w:val="en-US"/>
        </w:rPr>
        <w:t>IN THE SUPREME COURT OF BRITISH COLUMBIA</w:t>
      </w:r>
    </w:p>
    <w:p w:rsidR="002A60FA" w:rsidRPr="002A60FA" w:rsidRDefault="002A60FA" w:rsidP="002A60FA">
      <w:pPr>
        <w:spacing w:before="360"/>
        <w:jc w:val="center"/>
      </w:pPr>
      <w:r w:rsidRPr="002A60FA">
        <w:t xml:space="preserve">IN THE MATTER OF THE </w:t>
      </w:r>
      <w:r w:rsidRPr="002A60FA">
        <w:rPr>
          <w:i/>
        </w:rPr>
        <w:t>COMPANIES’ CREDITORS ARRANGEMENT ACT</w:t>
      </w:r>
      <w:r w:rsidRPr="002A60FA">
        <w:t>,</w:t>
      </w:r>
      <w:r w:rsidRPr="002A60FA">
        <w:br/>
        <w:t>R.S.C. 1985, c. C-36, AS AMENDED</w:t>
      </w:r>
    </w:p>
    <w:p w:rsidR="002A60FA" w:rsidRPr="002A60FA" w:rsidRDefault="002A60FA" w:rsidP="002A60FA">
      <w:pPr>
        <w:spacing w:before="360"/>
        <w:jc w:val="center"/>
      </w:pPr>
      <w:r w:rsidRPr="002A60FA">
        <w:t>– AND –</w:t>
      </w:r>
    </w:p>
    <w:p w:rsidR="002A60FA" w:rsidRPr="002A60FA" w:rsidRDefault="002A60FA" w:rsidP="002A60FA">
      <w:pPr>
        <w:spacing w:before="360"/>
        <w:jc w:val="center"/>
      </w:pPr>
      <w:r w:rsidRPr="002A60FA">
        <w:t xml:space="preserve">IN THE MATTER OF THE </w:t>
      </w:r>
      <w:r w:rsidRPr="002A60FA">
        <w:rPr>
          <w:i/>
        </w:rPr>
        <w:t>BUSINESS CORPORATIONS ACT</w:t>
      </w:r>
      <w:r w:rsidRPr="002A60FA">
        <w:t>,</w:t>
      </w:r>
      <w:r w:rsidRPr="002A60FA">
        <w:br/>
        <w:t>S.B.C. 2002, C. 57, AS AMENDED</w:t>
      </w:r>
    </w:p>
    <w:p w:rsidR="002A60FA" w:rsidRPr="002A60FA" w:rsidRDefault="002A60FA" w:rsidP="002A60FA">
      <w:pPr>
        <w:spacing w:before="360"/>
        <w:jc w:val="center"/>
      </w:pPr>
      <w:r w:rsidRPr="002A60FA">
        <w:t>– AND –</w:t>
      </w:r>
    </w:p>
    <w:p w:rsidR="002A60FA" w:rsidRPr="002A60FA" w:rsidRDefault="002A60FA" w:rsidP="002A60FA">
      <w:pPr>
        <w:spacing w:before="360"/>
        <w:jc w:val="center"/>
      </w:pPr>
      <w:r w:rsidRPr="002A60FA">
        <w:t>IN THE MATTER OF A PLAN OF COMPROMISE AND ARRANGEMENT OF</w:t>
      </w:r>
      <w:r w:rsidRPr="002A60FA">
        <w:br/>
        <w:t xml:space="preserve">PORT CAPITAL DEVELOPMENT (EV) INC. and EVERGREEN HOUSE DEVELOPMENT LIMITED PARTNERSHIP </w:t>
      </w:r>
    </w:p>
    <w:p w:rsidR="002A60FA" w:rsidRPr="002A60FA" w:rsidRDefault="002A60FA" w:rsidP="002A60FA">
      <w:pPr>
        <w:spacing w:after="240"/>
        <w:jc w:val="both"/>
        <w:rPr>
          <w:lang w:val="en-US"/>
        </w:rPr>
      </w:pPr>
    </w:p>
    <w:tbl>
      <w:tblPr>
        <w:tblStyle w:val="TableGrid1"/>
        <w:tblW w:w="0" w:type="auto"/>
        <w:tblBorders>
          <w:left w:val="none" w:sz="0" w:space="0" w:color="auto"/>
          <w:insideH w:val="none" w:sz="0" w:space="0" w:color="auto"/>
          <w:insideV w:val="none" w:sz="0" w:space="0" w:color="auto"/>
        </w:tblBorders>
        <w:tblLook w:val="04A0" w:firstRow="1" w:lastRow="0" w:firstColumn="1" w:lastColumn="0" w:noHBand="0" w:noVBand="1"/>
      </w:tblPr>
      <w:tblGrid>
        <w:gridCol w:w="9350"/>
      </w:tblGrid>
      <w:tr w:rsidR="002A60FA" w:rsidRPr="002A60FA" w:rsidTr="004E5CDA">
        <w:tc>
          <w:tcPr>
            <w:tcW w:w="9350" w:type="dxa"/>
            <w:tcBorders>
              <w:top w:val="single" w:sz="4" w:space="0" w:color="auto"/>
              <w:bottom w:val="single" w:sz="4" w:space="0" w:color="auto"/>
              <w:right w:val="nil"/>
            </w:tcBorders>
          </w:tcPr>
          <w:p w:rsidR="002A60FA" w:rsidRPr="002A60FA" w:rsidRDefault="002A60FA" w:rsidP="002A60FA">
            <w:pPr>
              <w:keepNext/>
              <w:spacing w:before="480" w:after="480"/>
              <w:jc w:val="center"/>
              <w:rPr>
                <w:b/>
              </w:rPr>
            </w:pPr>
            <w:r w:rsidRPr="002A60FA">
              <w:rPr>
                <w:b/>
              </w:rPr>
              <w:t>ORDER MADE AFTER APPLICATION</w:t>
            </w:r>
          </w:p>
        </w:tc>
      </w:tr>
    </w:tbl>
    <w:p w:rsidR="002A60FA" w:rsidRPr="002A60FA" w:rsidRDefault="002A60FA" w:rsidP="002A60FA">
      <w:pPr>
        <w:spacing w:after="240"/>
        <w:jc w:val="both"/>
        <w:rPr>
          <w:lang w:val="en-US"/>
        </w:rPr>
      </w:pPr>
    </w:p>
    <w:p w:rsidR="002A60FA" w:rsidRPr="002A60FA" w:rsidRDefault="002A60FA" w:rsidP="002A60FA">
      <w:pPr>
        <w:spacing w:after="240"/>
        <w:jc w:val="both"/>
        <w:rPr>
          <w:lang w:val="en-US"/>
        </w:rPr>
      </w:pPr>
    </w:p>
    <w:p w:rsidR="002A60FA" w:rsidRPr="002A60FA" w:rsidRDefault="002A60FA" w:rsidP="002A60FA">
      <w:pPr>
        <w:spacing w:after="240"/>
        <w:jc w:val="center"/>
        <w:rPr>
          <w:lang w:val="en-US"/>
        </w:rPr>
      </w:pPr>
      <w:r w:rsidRPr="002A60FA">
        <w:rPr>
          <w:b/>
          <w:lang w:val="en-US"/>
        </w:rPr>
        <w:t>BENNETT JONES LLP</w:t>
      </w:r>
      <w:r w:rsidRPr="002A60FA">
        <w:rPr>
          <w:lang w:val="en-US"/>
        </w:rPr>
        <w:br/>
        <w:t>Barristers and Solicitors</w:t>
      </w:r>
      <w:r w:rsidRPr="002A60FA">
        <w:rPr>
          <w:lang w:val="en-US"/>
        </w:rPr>
        <w:br/>
        <w:t xml:space="preserve">2500 – 666 Burrard Street </w:t>
      </w:r>
      <w:r w:rsidRPr="002A60FA">
        <w:rPr>
          <w:lang w:val="en-US"/>
        </w:rPr>
        <w:br/>
        <w:t>Vancouver, B.C. V6C 2X8</w:t>
      </w:r>
    </w:p>
    <w:p w:rsidR="002A60FA" w:rsidRPr="002A60FA" w:rsidRDefault="002A60FA" w:rsidP="002A60FA">
      <w:pPr>
        <w:spacing w:after="240"/>
        <w:jc w:val="center"/>
        <w:rPr>
          <w:lang w:val="en-US"/>
        </w:rPr>
      </w:pPr>
      <w:r w:rsidRPr="002A60FA">
        <w:rPr>
          <w:lang w:val="en-US"/>
        </w:rPr>
        <w:t>Tel:  604-891-7500</w:t>
      </w:r>
      <w:r w:rsidRPr="002A60FA">
        <w:rPr>
          <w:lang w:val="en-US"/>
        </w:rPr>
        <w:br/>
        <w:t>Fax:  604-891-5100</w:t>
      </w:r>
    </w:p>
    <w:p w:rsidR="002A60FA" w:rsidRPr="002A60FA" w:rsidRDefault="002A60FA" w:rsidP="002A60FA">
      <w:pPr>
        <w:spacing w:after="240"/>
        <w:jc w:val="center"/>
        <w:rPr>
          <w:lang w:val="en-US"/>
        </w:rPr>
      </w:pPr>
      <w:r w:rsidRPr="002A60FA">
        <w:rPr>
          <w:lang w:val="en-US"/>
        </w:rPr>
        <w:t>Attn:  David E. Gruber</w:t>
      </w:r>
      <w:r w:rsidRPr="002A60FA">
        <w:rPr>
          <w:lang w:val="en-US"/>
        </w:rPr>
        <w:br/>
        <w:t xml:space="preserve">File No. </w:t>
      </w:r>
      <w:r>
        <w:rPr>
          <w:rFonts w:cs="Arial"/>
          <w:lang w:val="en-US"/>
        </w:rPr>
        <w:t>90034.3</w:t>
      </w:r>
    </w:p>
    <w:p w:rsidR="00A269F1" w:rsidRPr="00104203" w:rsidRDefault="00A269F1" w:rsidP="00104203"/>
    <w:sectPr w:rsidR="00A269F1" w:rsidRPr="00104203" w:rsidSect="00023E93">
      <w:headerReference w:type="default" r:id="rId8"/>
      <w:headerReference w:type="first" r:id="rId9"/>
      <w:pgSz w:w="12240" w:h="15840" w:code="1"/>
      <w:pgMar w:top="1440" w:right="1440" w:bottom="1440" w:left="1440" w:header="720" w:footer="432" w:gutter="0"/>
      <w:paperSrc w:first="3" w:other="3"/>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616" w:rsidRDefault="00292616">
      <w:r>
        <w:separator/>
      </w:r>
    </w:p>
  </w:endnote>
  <w:endnote w:type="continuationSeparator" w:id="0">
    <w:p w:rsidR="00292616" w:rsidRDefault="00292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616" w:rsidRDefault="00292616">
      <w:r>
        <w:separator/>
      </w:r>
    </w:p>
  </w:footnote>
  <w:footnote w:type="continuationSeparator" w:id="0">
    <w:p w:rsidR="00292616" w:rsidRDefault="00292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2AC" w:rsidRPr="00F152AC" w:rsidRDefault="00F152AC">
    <w:pPr>
      <w:pStyle w:val="Header"/>
    </w:pPr>
    <w:r w:rsidRPr="00F152AC">
      <w:tab/>
    </w:r>
    <w:r w:rsidRPr="00F152AC">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9F1" w:rsidRPr="00187A4B" w:rsidRDefault="00A269F1" w:rsidP="00112703">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3AE1B7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A7CC5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09A35E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CCAFDA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CA6DBF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F529E8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DE6326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D543AD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6E20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AC5D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F2C3B"/>
    <w:multiLevelType w:val="hybridMultilevel"/>
    <w:tmpl w:val="12883C82"/>
    <w:lvl w:ilvl="0" w:tplc="6EE25FAE">
      <w:start w:val="1"/>
      <w:numFmt w:val="bullet"/>
      <w:pStyle w:val="BulletBody"/>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3C44B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FFB42F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4C7C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661C4A"/>
    <w:multiLevelType w:val="multilevel"/>
    <w:tmpl w:val="3446D0BE"/>
    <w:lvl w:ilvl="0">
      <w:start w:val="1"/>
      <w:numFmt w:val="upperLetter"/>
      <w:pStyle w:val="Recital1"/>
      <w:lvlText w:val="%1."/>
      <w:lvlJc w:val="left"/>
      <w:pPr>
        <w:tabs>
          <w:tab w:val="num" w:pos="0"/>
        </w:tabs>
        <w:ind w:left="0" w:firstLine="0"/>
      </w:pPr>
      <w:rPr>
        <w:rFonts w:hint="default"/>
      </w:rPr>
    </w:lvl>
    <w:lvl w:ilvl="1">
      <w:start w:val="1"/>
      <w:numFmt w:val="lowerLetter"/>
      <w:pStyle w:val="Recital2"/>
      <w:lvlText w:val="(%2)"/>
      <w:lvlJc w:val="left"/>
      <w:pPr>
        <w:tabs>
          <w:tab w:val="num" w:pos="1440"/>
        </w:tabs>
        <w:ind w:left="1440" w:hanging="720"/>
      </w:pPr>
      <w:rPr>
        <w:rFonts w:hint="default"/>
      </w:rPr>
    </w:lvl>
    <w:lvl w:ilvl="2">
      <w:start w:val="1"/>
      <w:numFmt w:val="lowerRoman"/>
      <w:pStyle w:val="Recital3"/>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D673DA1"/>
    <w:multiLevelType w:val="multilevel"/>
    <w:tmpl w:val="278C9B12"/>
    <w:name w:val="zzmpNoticeResp||NoticeResp|3|1|1|3|12|41||2|10|33||1|12|32||1|12|32||1|12|32||1|12|32||1|12|32||0|12|32||1|12|32||"/>
    <w:lvl w:ilvl="0">
      <w:start w:val="1"/>
      <w:numFmt w:val="decimal"/>
      <w:pStyle w:val="NoticeRespL1"/>
      <w:suff w:val="nothing"/>
      <w:lvlText w:val="Part %1:"/>
      <w:lvlJc w:val="left"/>
      <w:pPr>
        <w:tabs>
          <w:tab w:val="num" w:pos="720"/>
        </w:tabs>
        <w:ind w:left="0" w:firstLine="0"/>
      </w:pPr>
      <w:rPr>
        <w:b/>
        <w:i w:val="0"/>
        <w:caps w:val="0"/>
        <w:color w:val="auto"/>
        <w:u w:val="none"/>
      </w:rPr>
    </w:lvl>
    <w:lvl w:ilvl="1">
      <w:start w:val="1"/>
      <w:numFmt w:val="decimal"/>
      <w:pStyle w:val="NoticeRespL2"/>
      <w:suff w:val="space"/>
      <w:lvlText w:val="Division %2 -"/>
      <w:lvlJc w:val="left"/>
      <w:pPr>
        <w:tabs>
          <w:tab w:val="num" w:pos="720"/>
        </w:tabs>
        <w:ind w:left="0" w:firstLine="0"/>
      </w:pPr>
      <w:rPr>
        <w:b/>
        <w:i w:val="0"/>
        <w:caps w:val="0"/>
        <w:color w:val="auto"/>
        <w:u w:val="none"/>
      </w:rPr>
    </w:lvl>
    <w:lvl w:ilvl="2">
      <w:start w:val="1"/>
      <w:numFmt w:val="decimal"/>
      <w:pStyle w:val="NoticeRespL3"/>
      <w:lvlText w:val="%3."/>
      <w:lvlJc w:val="left"/>
      <w:pPr>
        <w:tabs>
          <w:tab w:val="num" w:pos="720"/>
        </w:tabs>
        <w:ind w:left="0" w:firstLine="0"/>
      </w:pPr>
      <w:rPr>
        <w:b w:val="0"/>
        <w:i w:val="0"/>
        <w:caps w:val="0"/>
        <w:color w:val="auto"/>
        <w:u w:val="none"/>
      </w:rPr>
    </w:lvl>
    <w:lvl w:ilvl="3">
      <w:start w:val="1"/>
      <w:numFmt w:val="lowerLetter"/>
      <w:pStyle w:val="NoticeRespL4"/>
      <w:lvlText w:val="(%4)"/>
      <w:lvlJc w:val="left"/>
      <w:pPr>
        <w:tabs>
          <w:tab w:val="num" w:pos="1440"/>
        </w:tabs>
        <w:ind w:left="1440" w:hanging="720"/>
      </w:pPr>
      <w:rPr>
        <w:b w:val="0"/>
        <w:i w:val="0"/>
        <w:caps w:val="0"/>
        <w:color w:val="auto"/>
        <w:u w:val="none"/>
      </w:rPr>
    </w:lvl>
    <w:lvl w:ilvl="4">
      <w:start w:val="1"/>
      <w:numFmt w:val="lowerRoman"/>
      <w:pStyle w:val="NoticeRespL5"/>
      <w:lvlText w:val="(%5)"/>
      <w:lvlJc w:val="left"/>
      <w:pPr>
        <w:tabs>
          <w:tab w:val="num" w:pos="2160"/>
        </w:tabs>
        <w:ind w:left="2160" w:hanging="720"/>
      </w:pPr>
      <w:rPr>
        <w:b w:val="0"/>
        <w:i w:val="0"/>
        <w:caps w:val="0"/>
        <w:color w:val="auto"/>
        <w:u w:val="none"/>
      </w:rPr>
    </w:lvl>
    <w:lvl w:ilvl="5">
      <w:start w:val="1"/>
      <w:numFmt w:val="upperLetter"/>
      <w:pStyle w:val="NoticeRespL6"/>
      <w:lvlText w:val="(%6)"/>
      <w:lvlJc w:val="left"/>
      <w:pPr>
        <w:tabs>
          <w:tab w:val="num" w:pos="2880"/>
        </w:tabs>
        <w:ind w:left="2880" w:hanging="720"/>
      </w:pPr>
      <w:rPr>
        <w:b w:val="0"/>
        <w:i w:val="0"/>
        <w:caps w:val="0"/>
        <w:color w:val="auto"/>
        <w:u w:val="none"/>
      </w:rPr>
    </w:lvl>
    <w:lvl w:ilvl="6">
      <w:start w:val="1"/>
      <w:numFmt w:val="decimal"/>
      <w:pStyle w:val="NoticeRespL7"/>
      <w:lvlText w:val="(%7)"/>
      <w:lvlJc w:val="left"/>
      <w:pPr>
        <w:tabs>
          <w:tab w:val="num" w:pos="3600"/>
        </w:tabs>
        <w:ind w:left="3600" w:hanging="720"/>
      </w:pPr>
      <w:rPr>
        <w:b w:val="0"/>
        <w:i w:val="0"/>
        <w:caps w:val="0"/>
        <w:color w:val="auto"/>
        <w:u w:val="none"/>
      </w:rPr>
    </w:lvl>
    <w:lvl w:ilvl="7">
      <w:start w:val="1"/>
      <w:numFmt w:val="decimal"/>
      <w:pStyle w:val="NoticeRespL8"/>
      <w:suff w:val="nothing"/>
      <w:lvlText w:val="%1.%8"/>
      <w:lvlJc w:val="left"/>
      <w:pPr>
        <w:tabs>
          <w:tab w:val="num" w:pos="720"/>
        </w:tabs>
        <w:ind w:left="0" w:firstLine="0"/>
      </w:pPr>
      <w:rPr>
        <w:b w:val="0"/>
        <w:i w:val="0"/>
        <w:caps w:val="0"/>
        <w:color w:val="auto"/>
        <w:u w:val="none"/>
      </w:rPr>
    </w:lvl>
    <w:lvl w:ilvl="8">
      <w:start w:val="1"/>
      <w:numFmt w:val="decimal"/>
      <w:pStyle w:val="NoticeRespL9"/>
      <w:lvlText w:val="%9)"/>
      <w:lvlJc w:val="left"/>
      <w:pPr>
        <w:tabs>
          <w:tab w:val="num" w:pos="6480"/>
        </w:tabs>
        <w:ind w:left="6480" w:hanging="720"/>
      </w:pPr>
      <w:rPr>
        <w:b w:val="0"/>
        <w:i w:val="0"/>
        <w:caps w:val="0"/>
        <w:color w:val="auto"/>
        <w:u w:val="none"/>
      </w:rPr>
    </w:lvl>
  </w:abstractNum>
  <w:abstractNum w:abstractNumId="16" w15:restartNumberingAfterBreak="0">
    <w:nsid w:val="27907231"/>
    <w:multiLevelType w:val="hybridMultilevel"/>
    <w:tmpl w:val="06E00CE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FF6899"/>
    <w:multiLevelType w:val="hybridMultilevel"/>
    <w:tmpl w:val="E312E5F2"/>
    <w:lvl w:ilvl="0" w:tplc="046E2E9A">
      <w:start w:val="1"/>
      <w:numFmt w:val="bullet"/>
      <w:pStyle w:val="BulletBodySpecial"/>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242CE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8606D44"/>
    <w:multiLevelType w:val="hybridMultilevel"/>
    <w:tmpl w:val="724EA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A156FC7"/>
    <w:multiLevelType w:val="hybridMultilevel"/>
    <w:tmpl w:val="C8C82774"/>
    <w:lvl w:ilvl="0" w:tplc="ED706CC6">
      <w:start w:val="1"/>
      <w:numFmt w:val="decimal"/>
      <w:pStyle w:val="DoubleSpace"/>
      <w:lvlText w:val="%1."/>
      <w:lvlJc w:val="left"/>
      <w:pPr>
        <w:tabs>
          <w:tab w:val="num" w:pos="1080"/>
        </w:tabs>
        <w:ind w:left="1080" w:hanging="360"/>
      </w:pPr>
      <w:rPr>
        <w:rFonts w:ascii="Times New Roman" w:hAnsi="Times New Roman" w:cs="Times New Roman" w:hint="default"/>
        <w:b w:val="0"/>
        <w:i w:val="0"/>
        <w:u w:val="none"/>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1" w15:restartNumberingAfterBreak="0">
    <w:nsid w:val="49D82B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0D66DE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BF066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94B4D9C"/>
    <w:multiLevelType w:val="multilevel"/>
    <w:tmpl w:val="34CCFC2A"/>
    <w:name w:val="zzmpLitStandard||LitStandard|2|1|1|1|12|32||1|12|32||1|12|32||1|12|32||1|12|32||1|12|32||1|12|32||1|12|32||1|12|32||"/>
    <w:lvl w:ilvl="0">
      <w:start w:val="1"/>
      <w:numFmt w:val="decimal"/>
      <w:pStyle w:val="LitStandardL1"/>
      <w:lvlText w:val="%1."/>
      <w:lvlJc w:val="left"/>
      <w:pPr>
        <w:tabs>
          <w:tab w:val="num" w:pos="720"/>
        </w:tabs>
        <w:ind w:left="0" w:firstLine="0"/>
      </w:pPr>
      <w:rPr>
        <w:b w:val="0"/>
        <w:i w:val="0"/>
        <w:caps w:val="0"/>
        <w:strike w:val="0"/>
        <w:dstrike w:val="0"/>
        <w:outline w:val="0"/>
        <w:shadow w:val="0"/>
        <w:emboss w:val="0"/>
        <w:imprint w:val="0"/>
        <w:vanish w:val="0"/>
        <w:color w:val="auto"/>
        <w:u w:val="none"/>
        <w:effect w:val="none"/>
        <w:vertAlign w:val="baseline"/>
      </w:rPr>
    </w:lvl>
    <w:lvl w:ilvl="1">
      <w:start w:val="1"/>
      <w:numFmt w:val="lowerLetter"/>
      <w:pStyle w:val="LitStandardL2"/>
      <w:lvlText w:val="(%2)"/>
      <w:lvlJc w:val="left"/>
      <w:pPr>
        <w:tabs>
          <w:tab w:val="num" w:pos="1440"/>
        </w:tabs>
        <w:ind w:left="1440" w:hanging="720"/>
      </w:pPr>
      <w:rPr>
        <w:b w:val="0"/>
        <w:i w:val="0"/>
        <w:caps w:val="0"/>
        <w:strike w:val="0"/>
        <w:dstrike w:val="0"/>
        <w:outline w:val="0"/>
        <w:shadow w:val="0"/>
        <w:emboss w:val="0"/>
        <w:imprint w:val="0"/>
        <w:vanish w:val="0"/>
        <w:color w:val="auto"/>
        <w:u w:val="none"/>
        <w:effect w:val="none"/>
        <w:vertAlign w:val="baseline"/>
      </w:rPr>
    </w:lvl>
    <w:lvl w:ilvl="2">
      <w:start w:val="1"/>
      <w:numFmt w:val="lowerRoman"/>
      <w:pStyle w:val="LitStandardL3"/>
      <w:lvlText w:val="(%3)"/>
      <w:lvlJc w:val="left"/>
      <w:pPr>
        <w:tabs>
          <w:tab w:val="num" w:pos="2160"/>
        </w:tabs>
        <w:ind w:left="2160" w:hanging="720"/>
      </w:pPr>
      <w:rPr>
        <w:b w:val="0"/>
        <w:i w:val="0"/>
        <w:caps w:val="0"/>
        <w:strike w:val="0"/>
        <w:dstrike w:val="0"/>
        <w:outline w:val="0"/>
        <w:shadow w:val="0"/>
        <w:emboss w:val="0"/>
        <w:imprint w:val="0"/>
        <w:vanish w:val="0"/>
        <w:color w:val="auto"/>
        <w:u w:val="none"/>
        <w:effect w:val="none"/>
        <w:vertAlign w:val="baseline"/>
      </w:rPr>
    </w:lvl>
    <w:lvl w:ilvl="3">
      <w:start w:val="1"/>
      <w:numFmt w:val="upperLetter"/>
      <w:pStyle w:val="LitStandardL4"/>
      <w:lvlText w:val="(%4)"/>
      <w:lvlJc w:val="left"/>
      <w:pPr>
        <w:tabs>
          <w:tab w:val="num" w:pos="2880"/>
        </w:tabs>
        <w:ind w:left="2880" w:hanging="720"/>
      </w:pPr>
      <w:rPr>
        <w:b w:val="0"/>
        <w:i w:val="0"/>
        <w:caps w:val="0"/>
        <w:strike w:val="0"/>
        <w:dstrike w:val="0"/>
        <w:outline w:val="0"/>
        <w:shadow w:val="0"/>
        <w:emboss w:val="0"/>
        <w:imprint w:val="0"/>
        <w:vanish w:val="0"/>
        <w:color w:val="auto"/>
        <w:u w:val="none"/>
        <w:effect w:val="none"/>
        <w:vertAlign w:val="baseline"/>
      </w:rPr>
    </w:lvl>
    <w:lvl w:ilvl="4">
      <w:start w:val="1"/>
      <w:numFmt w:val="decimal"/>
      <w:pStyle w:val="LitStandardL5"/>
      <w:lvlText w:val="(%5)"/>
      <w:lvlJc w:val="left"/>
      <w:pPr>
        <w:tabs>
          <w:tab w:val="num" w:pos="3600"/>
        </w:tabs>
        <w:ind w:left="3600" w:hanging="720"/>
      </w:pPr>
      <w:rPr>
        <w:b w:val="0"/>
        <w:i w:val="0"/>
        <w:caps w:val="0"/>
        <w:strike w:val="0"/>
        <w:dstrike w:val="0"/>
        <w:outline w:val="0"/>
        <w:shadow w:val="0"/>
        <w:emboss w:val="0"/>
        <w:imprint w:val="0"/>
        <w:vanish w:val="0"/>
        <w:color w:val="auto"/>
        <w:u w:val="none"/>
        <w:effect w:val="none"/>
        <w:vertAlign w:val="baseline"/>
      </w:rPr>
    </w:lvl>
    <w:lvl w:ilvl="5">
      <w:start w:val="1"/>
      <w:numFmt w:val="lowerLetter"/>
      <w:pStyle w:val="LitStandardL6"/>
      <w:lvlText w:val="%6)"/>
      <w:lvlJc w:val="left"/>
      <w:pPr>
        <w:tabs>
          <w:tab w:val="num" w:pos="4320"/>
        </w:tabs>
        <w:ind w:left="4320" w:hanging="720"/>
      </w:pPr>
      <w:rPr>
        <w:b w:val="0"/>
        <w:i w:val="0"/>
        <w:caps w:val="0"/>
        <w:strike w:val="0"/>
        <w:dstrike w:val="0"/>
        <w:outline w:val="0"/>
        <w:shadow w:val="0"/>
        <w:emboss w:val="0"/>
        <w:imprint w:val="0"/>
        <w:vanish w:val="0"/>
        <w:color w:val="auto"/>
        <w:u w:val="none"/>
        <w:effect w:val="none"/>
        <w:vertAlign w:val="baseline"/>
      </w:rPr>
    </w:lvl>
    <w:lvl w:ilvl="6">
      <w:start w:val="1"/>
      <w:numFmt w:val="lowerRoman"/>
      <w:pStyle w:val="LitStandardL7"/>
      <w:lvlText w:val="%7)"/>
      <w:lvlJc w:val="left"/>
      <w:pPr>
        <w:tabs>
          <w:tab w:val="num" w:pos="5040"/>
        </w:tabs>
        <w:ind w:left="5040" w:hanging="720"/>
      </w:pPr>
      <w:rPr>
        <w:b w:val="0"/>
        <w:i w:val="0"/>
        <w:caps w:val="0"/>
        <w:strike w:val="0"/>
        <w:dstrike w:val="0"/>
        <w:outline w:val="0"/>
        <w:shadow w:val="0"/>
        <w:emboss w:val="0"/>
        <w:imprint w:val="0"/>
        <w:vanish w:val="0"/>
        <w:color w:val="auto"/>
        <w:u w:val="none"/>
        <w:effect w:val="none"/>
        <w:vertAlign w:val="baseline"/>
      </w:rPr>
    </w:lvl>
    <w:lvl w:ilvl="7">
      <w:start w:val="1"/>
      <w:numFmt w:val="upperLetter"/>
      <w:pStyle w:val="LitStandardL8"/>
      <w:lvlText w:val="%8)"/>
      <w:lvlJc w:val="left"/>
      <w:pPr>
        <w:tabs>
          <w:tab w:val="num" w:pos="5760"/>
        </w:tabs>
        <w:ind w:left="5760" w:hanging="720"/>
      </w:pPr>
      <w:rPr>
        <w:b w:val="0"/>
        <w:i w:val="0"/>
        <w:caps w:val="0"/>
        <w:strike w:val="0"/>
        <w:dstrike w:val="0"/>
        <w:outline w:val="0"/>
        <w:shadow w:val="0"/>
        <w:emboss w:val="0"/>
        <w:imprint w:val="0"/>
        <w:vanish w:val="0"/>
        <w:color w:val="auto"/>
        <w:u w:val="none"/>
        <w:effect w:val="none"/>
        <w:vertAlign w:val="baseline"/>
      </w:rPr>
    </w:lvl>
    <w:lvl w:ilvl="8">
      <w:start w:val="1"/>
      <w:numFmt w:val="decimal"/>
      <w:pStyle w:val="LitStandardL9"/>
      <w:lvlText w:val="%9)"/>
      <w:lvlJc w:val="left"/>
      <w:pPr>
        <w:tabs>
          <w:tab w:val="num" w:pos="6480"/>
        </w:tabs>
        <w:ind w:left="6480" w:hanging="720"/>
      </w:pPr>
      <w:rPr>
        <w:b w:val="0"/>
        <w:i w:val="0"/>
        <w:caps w:val="0"/>
        <w:strike w:val="0"/>
        <w:dstrike w:val="0"/>
        <w:outline w:val="0"/>
        <w:shadow w:val="0"/>
        <w:emboss w:val="0"/>
        <w:imprint w:val="0"/>
        <w:vanish w:val="0"/>
        <w:color w:val="auto"/>
        <w:u w:val="none"/>
        <w:effect w:val="none"/>
        <w:vertAlign w:val="baseline"/>
      </w:rPr>
    </w:lvl>
  </w:abstractNum>
  <w:abstractNum w:abstractNumId="25" w15:restartNumberingAfterBreak="0">
    <w:nsid w:val="61467E9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CE6C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58562A7"/>
    <w:multiLevelType w:val="hybridMultilevel"/>
    <w:tmpl w:val="F754D7D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FB71B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1231F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C4436AB"/>
    <w:multiLevelType w:val="multilevel"/>
    <w:tmpl w:val="FAA2BF96"/>
    <w:lvl w:ilvl="0">
      <w:start w:val="1"/>
      <w:numFmt w:val="decimal"/>
      <w:pStyle w:val="Heading1"/>
      <w:lvlText w:val="%1."/>
      <w:lvlJc w:val="left"/>
      <w:pPr>
        <w:tabs>
          <w:tab w:val="num" w:pos="0"/>
        </w:tabs>
        <w:ind w:left="0" w:firstLine="0"/>
      </w:pPr>
      <w:rPr>
        <w:rFonts w:hint="default"/>
        <w:u w:val="none"/>
      </w:rPr>
    </w:lvl>
    <w:lvl w:ilvl="1">
      <w:start w:val="1"/>
      <w:numFmt w:val="lowerLetter"/>
      <w:pStyle w:val="Heading2"/>
      <w:lvlText w:val="(%2)"/>
      <w:lvlJc w:val="left"/>
      <w:pPr>
        <w:tabs>
          <w:tab w:val="num" w:pos="1440"/>
        </w:tabs>
        <w:ind w:left="1440" w:hanging="720"/>
      </w:pPr>
      <w:rPr>
        <w:rFonts w:hint="default"/>
        <w:u w:val="none"/>
      </w:rPr>
    </w:lvl>
    <w:lvl w:ilvl="2">
      <w:start w:val="1"/>
      <w:numFmt w:val="lowerRoman"/>
      <w:pStyle w:val="Heading3"/>
      <w:lvlText w:val="(%3)"/>
      <w:lvlJc w:val="left"/>
      <w:pPr>
        <w:tabs>
          <w:tab w:val="num" w:pos="2160"/>
        </w:tabs>
        <w:ind w:left="2160" w:hanging="720"/>
      </w:pPr>
      <w:rPr>
        <w:rFonts w:hint="default"/>
        <w:u w:val="none"/>
      </w:rPr>
    </w:lvl>
    <w:lvl w:ilvl="3">
      <w:start w:val="1"/>
      <w:numFmt w:val="upperLetter"/>
      <w:pStyle w:val="Heading4"/>
      <w:lvlText w:val="%4."/>
      <w:lvlJc w:val="left"/>
      <w:pPr>
        <w:tabs>
          <w:tab w:val="num" w:pos="2880"/>
        </w:tabs>
        <w:ind w:left="2880" w:hanging="720"/>
      </w:pPr>
      <w:rPr>
        <w:rFonts w:hint="default"/>
        <w:u w:val="none"/>
      </w:rPr>
    </w:lvl>
    <w:lvl w:ilvl="4">
      <w:start w:val="1"/>
      <w:numFmt w:val="decimal"/>
      <w:pStyle w:val="Heading5"/>
      <w:lvlText w:val="%5"/>
      <w:lvlJc w:val="left"/>
      <w:pPr>
        <w:tabs>
          <w:tab w:val="num" w:pos="3600"/>
        </w:tabs>
        <w:ind w:left="3600" w:hanging="720"/>
      </w:pPr>
      <w:rPr>
        <w:rFonts w:hint="default"/>
        <w:u w:val="none"/>
      </w:rPr>
    </w:lvl>
    <w:lvl w:ilvl="5">
      <w:start w:val="1"/>
      <w:numFmt w:val="lowerLetter"/>
      <w:pStyle w:val="Heading6"/>
      <w:lvlText w:val="%6)"/>
      <w:lvlJc w:val="left"/>
      <w:pPr>
        <w:tabs>
          <w:tab w:val="num" w:pos="4320"/>
        </w:tabs>
        <w:ind w:left="4320" w:hanging="720"/>
      </w:pPr>
      <w:rPr>
        <w:rFonts w:hint="default"/>
        <w:u w:val="none"/>
      </w:rPr>
    </w:lvl>
    <w:lvl w:ilvl="6">
      <w:start w:val="1"/>
      <w:numFmt w:val="lowerRoman"/>
      <w:pStyle w:val="Heading7"/>
      <w:lvlText w:val="%7)"/>
      <w:lvlJc w:val="left"/>
      <w:pPr>
        <w:tabs>
          <w:tab w:val="num" w:pos="5040"/>
        </w:tabs>
        <w:ind w:left="5040" w:hanging="720"/>
      </w:pPr>
      <w:rPr>
        <w:rFonts w:hint="default"/>
        <w:u w:val="none"/>
      </w:rPr>
    </w:lvl>
    <w:lvl w:ilvl="7">
      <w:start w:val="1"/>
      <w:numFmt w:val="upperLetter"/>
      <w:pStyle w:val="Heading8"/>
      <w:lvlText w:val="(%8)"/>
      <w:lvlJc w:val="left"/>
      <w:pPr>
        <w:tabs>
          <w:tab w:val="num" w:pos="5760"/>
        </w:tabs>
        <w:ind w:left="5760" w:hanging="720"/>
      </w:pPr>
      <w:rPr>
        <w:rFonts w:hint="default"/>
        <w:u w:val="none"/>
      </w:rPr>
    </w:lvl>
    <w:lvl w:ilvl="8">
      <w:start w:val="1"/>
      <w:numFmt w:val="upperLetter"/>
      <w:pStyle w:val="Heading9"/>
      <w:suff w:val="nothing"/>
      <w:lvlText w:val="Schedule %9"/>
      <w:lvlJc w:val="left"/>
      <w:pPr>
        <w:tabs>
          <w:tab w:val="num" w:pos="0"/>
        </w:tabs>
        <w:ind w:left="0" w:firstLine="0"/>
      </w:pPr>
      <w:rPr>
        <w:rFonts w:hint="default"/>
        <w:u w:val="none"/>
      </w:rPr>
    </w:lvl>
  </w:abstractNum>
  <w:abstractNum w:abstractNumId="31" w15:restartNumberingAfterBreak="0">
    <w:nsid w:val="72EC06B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874520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A817421"/>
    <w:multiLevelType w:val="multilevel"/>
    <w:tmpl w:val="50C28DCA"/>
    <w:name w:val="ORGeneral"/>
    <w:lvl w:ilvl="0">
      <w:start w:val="1"/>
      <w:numFmt w:val="decimal"/>
      <w:lvlRestart w:val="0"/>
      <w:pStyle w:val="ORGenL1"/>
      <w:lvlText w:val="%1."/>
      <w:lvlJc w:val="left"/>
      <w:pPr>
        <w:tabs>
          <w:tab w:val="num" w:pos="720"/>
        </w:tabs>
        <w:ind w:left="0" w:firstLine="0"/>
      </w:pPr>
      <w:rPr>
        <w:rFonts w:hint="default"/>
        <w:b w:val="0"/>
      </w:rPr>
    </w:lvl>
    <w:lvl w:ilvl="1">
      <w:start w:val="1"/>
      <w:numFmt w:val="lowerLetter"/>
      <w:pStyle w:val="ORGenL2"/>
      <w:lvlText w:val="(%2)"/>
      <w:lvlJc w:val="left"/>
      <w:pPr>
        <w:tabs>
          <w:tab w:val="num" w:pos="1080"/>
        </w:tabs>
        <w:ind w:left="1080" w:hanging="720"/>
      </w:pPr>
      <w:rPr>
        <w:rFonts w:hint="default"/>
      </w:rPr>
    </w:lvl>
    <w:lvl w:ilvl="2">
      <w:start w:val="1"/>
      <w:numFmt w:val="lowerRoman"/>
      <w:pStyle w:val="ORGenL3"/>
      <w:lvlText w:val="(%3)"/>
      <w:lvlJc w:val="right"/>
      <w:pPr>
        <w:tabs>
          <w:tab w:val="num" w:pos="2160"/>
        </w:tabs>
        <w:ind w:left="2160" w:hanging="432"/>
      </w:pPr>
      <w:rPr>
        <w:rFonts w:hint="default"/>
      </w:rPr>
    </w:lvl>
    <w:lvl w:ilvl="3">
      <w:start w:val="1"/>
      <w:numFmt w:val="decimal"/>
      <w:pStyle w:val="ORGenL4"/>
      <w:lvlText w:val="(%4)"/>
      <w:lvlJc w:val="left"/>
      <w:pPr>
        <w:tabs>
          <w:tab w:val="num" w:pos="2880"/>
        </w:tabs>
        <w:ind w:left="2880" w:hanging="720"/>
      </w:pPr>
      <w:rPr>
        <w:rFonts w:hint="default"/>
      </w:rPr>
    </w:lvl>
    <w:lvl w:ilvl="4">
      <w:start w:val="1"/>
      <w:numFmt w:val="upperLetter"/>
      <w:pStyle w:val="ORGenL5"/>
      <w:lvlText w:val="(%5)"/>
      <w:lvlJc w:val="left"/>
      <w:pPr>
        <w:tabs>
          <w:tab w:val="num" w:pos="3600"/>
        </w:tabs>
        <w:ind w:left="3600" w:hanging="720"/>
      </w:pPr>
      <w:rPr>
        <w:rFonts w:hint="default"/>
      </w:rPr>
    </w:lvl>
    <w:lvl w:ilvl="5">
      <w:start w:val="1"/>
      <w:numFmt w:val="upperRoman"/>
      <w:pStyle w:val="ORGenL6"/>
      <w:lvlText w:val="(%6)"/>
      <w:lvlJc w:val="left"/>
      <w:pPr>
        <w:tabs>
          <w:tab w:val="num" w:pos="4320"/>
        </w:tabs>
        <w:ind w:left="4320" w:hanging="720"/>
      </w:pPr>
      <w:rPr>
        <w:rFonts w:hint="default"/>
      </w:rPr>
    </w:lvl>
    <w:lvl w:ilvl="6">
      <w:start w:val="1"/>
      <w:numFmt w:val="decimal"/>
      <w:pStyle w:val="ORGenL7"/>
      <w:lvlText w:val="%7)"/>
      <w:lvlJc w:val="left"/>
      <w:pPr>
        <w:tabs>
          <w:tab w:val="num" w:pos="5040"/>
        </w:tabs>
        <w:ind w:left="5040" w:hanging="720"/>
      </w:pPr>
      <w:rPr>
        <w:rFonts w:hint="default"/>
      </w:rPr>
    </w:lvl>
    <w:lvl w:ilvl="7">
      <w:start w:val="1"/>
      <w:numFmt w:val="lowerLetter"/>
      <w:pStyle w:val="ORGenL8"/>
      <w:lvlText w:val="%8)"/>
      <w:lvlJc w:val="left"/>
      <w:pPr>
        <w:tabs>
          <w:tab w:val="num" w:pos="5760"/>
        </w:tabs>
        <w:ind w:left="5760" w:hanging="720"/>
      </w:pPr>
      <w:rPr>
        <w:rFonts w:hint="default"/>
      </w:rPr>
    </w:lvl>
    <w:lvl w:ilvl="8">
      <w:start w:val="1"/>
      <w:numFmt w:val="lowerRoman"/>
      <w:pStyle w:val="ORGenL9"/>
      <w:lvlText w:val="%9)"/>
      <w:lvlJc w:val="left"/>
      <w:pPr>
        <w:tabs>
          <w:tab w:val="num" w:pos="6480"/>
        </w:tabs>
        <w:ind w:left="6480" w:hanging="720"/>
      </w:pPr>
      <w:rPr>
        <w:rFonts w:hint="default"/>
      </w:rPr>
    </w:lvl>
  </w:abstractNum>
  <w:abstractNum w:abstractNumId="34" w15:restartNumberingAfterBreak="0">
    <w:nsid w:val="7F1C3296"/>
    <w:multiLevelType w:val="hybridMultilevel"/>
    <w:tmpl w:val="58AAD77A"/>
    <w:lvl w:ilvl="0" w:tplc="142E7636">
      <w:start w:val="1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7"/>
  </w:num>
  <w:num w:numId="13">
    <w:abstractNumId w:val="14"/>
  </w:num>
  <w:num w:numId="14">
    <w:abstractNumId w:val="30"/>
  </w:num>
  <w:num w:numId="15">
    <w:abstractNumId w:val="11"/>
  </w:num>
  <w:num w:numId="16">
    <w:abstractNumId w:val="22"/>
  </w:num>
  <w:num w:numId="17">
    <w:abstractNumId w:val="28"/>
  </w:num>
  <w:num w:numId="18">
    <w:abstractNumId w:val="12"/>
  </w:num>
  <w:num w:numId="19">
    <w:abstractNumId w:val="23"/>
  </w:num>
  <w:num w:numId="20">
    <w:abstractNumId w:val="13"/>
  </w:num>
  <w:num w:numId="21">
    <w:abstractNumId w:val="26"/>
  </w:num>
  <w:num w:numId="22">
    <w:abstractNumId w:val="25"/>
  </w:num>
  <w:num w:numId="23">
    <w:abstractNumId w:val="21"/>
  </w:num>
  <w:num w:numId="24">
    <w:abstractNumId w:val="18"/>
  </w:num>
  <w:num w:numId="25">
    <w:abstractNumId w:val="29"/>
  </w:num>
  <w:num w:numId="26">
    <w:abstractNumId w:val="31"/>
  </w:num>
  <w:num w:numId="27">
    <w:abstractNumId w:val="32"/>
  </w:num>
  <w:num w:numId="28">
    <w:abstractNumId w:val="20"/>
  </w:num>
  <w:num w:numId="29">
    <w:abstractNumId w:val="16"/>
  </w:num>
  <w:num w:numId="30">
    <w:abstractNumId w:val="33"/>
  </w:num>
  <w:num w:numId="31">
    <w:abstractNumId w:val="34"/>
  </w:num>
  <w:num w:numId="32">
    <w:abstractNumId w:val="15"/>
  </w:num>
  <w:num w:numId="33">
    <w:abstractNumId w:val="27"/>
  </w:num>
  <w:num w:numId="34">
    <w:abstractNumId w:val="19"/>
  </w:num>
  <w:num w:numId="35">
    <w:abstractNumId w:val="2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5"/>
  <w:removePersonalInformation/>
  <w:removeDateAndTime/>
  <w:doNotDisplayPageBoundaries/>
  <w:activeWritingStyle w:appName="MSWord" w:lang="en-US"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GB" w:vendorID="64" w:dllVersion="131078" w:nlCheck="1" w:checkStyle="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ForteTempFile" w:val="C:\Users\Natalie\AppData\Local\Temp\39b8892d-3156-45cb-82bc-018106fb9e11.docx"/>
    <w:docVar w:name="zzmp10mSEGsValidated" w:val="1"/>
    <w:docVar w:name="zzmp10NoTrailerPromptID" w:val="WSLegal.30682441.2"/>
    <w:docVar w:name="zzmpCompatibilityMode" w:val="14"/>
  </w:docVars>
  <w:rsids>
    <w:rsidRoot w:val="00BB627E"/>
    <w:rsid w:val="00000A5D"/>
    <w:rsid w:val="0000181C"/>
    <w:rsid w:val="00005576"/>
    <w:rsid w:val="00007041"/>
    <w:rsid w:val="00023E93"/>
    <w:rsid w:val="00027FB6"/>
    <w:rsid w:val="000D49CC"/>
    <w:rsid w:val="000E47E8"/>
    <w:rsid w:val="00104203"/>
    <w:rsid w:val="00112703"/>
    <w:rsid w:val="001250D9"/>
    <w:rsid w:val="0013151B"/>
    <w:rsid w:val="001351EA"/>
    <w:rsid w:val="0013664F"/>
    <w:rsid w:val="00142385"/>
    <w:rsid w:val="00161167"/>
    <w:rsid w:val="00166991"/>
    <w:rsid w:val="001704F7"/>
    <w:rsid w:val="001741BC"/>
    <w:rsid w:val="00175FBC"/>
    <w:rsid w:val="00183106"/>
    <w:rsid w:val="00187A4B"/>
    <w:rsid w:val="001A53A9"/>
    <w:rsid w:val="001C37B8"/>
    <w:rsid w:val="001E0B97"/>
    <w:rsid w:val="001F3B8A"/>
    <w:rsid w:val="002074A2"/>
    <w:rsid w:val="00214CCC"/>
    <w:rsid w:val="00266191"/>
    <w:rsid w:val="00292616"/>
    <w:rsid w:val="002972C2"/>
    <w:rsid w:val="002A417B"/>
    <w:rsid w:val="002A60FA"/>
    <w:rsid w:val="002A62D4"/>
    <w:rsid w:val="002D6089"/>
    <w:rsid w:val="002F35EC"/>
    <w:rsid w:val="003038CC"/>
    <w:rsid w:val="0031480B"/>
    <w:rsid w:val="00341BB8"/>
    <w:rsid w:val="00353F9A"/>
    <w:rsid w:val="00381D51"/>
    <w:rsid w:val="00386CF6"/>
    <w:rsid w:val="0039765C"/>
    <w:rsid w:val="003A3B99"/>
    <w:rsid w:val="003A590C"/>
    <w:rsid w:val="003C095C"/>
    <w:rsid w:val="003E0D21"/>
    <w:rsid w:val="003E4E61"/>
    <w:rsid w:val="003E530F"/>
    <w:rsid w:val="003F2047"/>
    <w:rsid w:val="003F718E"/>
    <w:rsid w:val="00427F57"/>
    <w:rsid w:val="004735E3"/>
    <w:rsid w:val="00481A4C"/>
    <w:rsid w:val="004A31D8"/>
    <w:rsid w:val="004B3E7E"/>
    <w:rsid w:val="004C1305"/>
    <w:rsid w:val="004F1E1A"/>
    <w:rsid w:val="00503B79"/>
    <w:rsid w:val="00553548"/>
    <w:rsid w:val="00561026"/>
    <w:rsid w:val="005B519B"/>
    <w:rsid w:val="006A35AF"/>
    <w:rsid w:val="006A457E"/>
    <w:rsid w:val="006A744D"/>
    <w:rsid w:val="006B05E9"/>
    <w:rsid w:val="006B3AD7"/>
    <w:rsid w:val="006D0E18"/>
    <w:rsid w:val="006D2097"/>
    <w:rsid w:val="007006BE"/>
    <w:rsid w:val="00706879"/>
    <w:rsid w:val="0076762E"/>
    <w:rsid w:val="007A0BD7"/>
    <w:rsid w:val="007A6959"/>
    <w:rsid w:val="007A718E"/>
    <w:rsid w:val="007B150A"/>
    <w:rsid w:val="007D07D5"/>
    <w:rsid w:val="007E6706"/>
    <w:rsid w:val="00834151"/>
    <w:rsid w:val="00836453"/>
    <w:rsid w:val="00892A77"/>
    <w:rsid w:val="008D79C0"/>
    <w:rsid w:val="008E1989"/>
    <w:rsid w:val="0092521D"/>
    <w:rsid w:val="0094393A"/>
    <w:rsid w:val="009451C5"/>
    <w:rsid w:val="0095448E"/>
    <w:rsid w:val="009A1E2B"/>
    <w:rsid w:val="009B42AF"/>
    <w:rsid w:val="009B5127"/>
    <w:rsid w:val="00A269F1"/>
    <w:rsid w:val="00A302A8"/>
    <w:rsid w:val="00A3473A"/>
    <w:rsid w:val="00A67441"/>
    <w:rsid w:val="00A956A9"/>
    <w:rsid w:val="00A9694D"/>
    <w:rsid w:val="00AA095A"/>
    <w:rsid w:val="00AC793C"/>
    <w:rsid w:val="00AE122F"/>
    <w:rsid w:val="00B077C0"/>
    <w:rsid w:val="00B116C3"/>
    <w:rsid w:val="00B24500"/>
    <w:rsid w:val="00B24648"/>
    <w:rsid w:val="00B2586B"/>
    <w:rsid w:val="00B41D8C"/>
    <w:rsid w:val="00B52139"/>
    <w:rsid w:val="00B5697F"/>
    <w:rsid w:val="00B63A25"/>
    <w:rsid w:val="00B800DD"/>
    <w:rsid w:val="00BB137D"/>
    <w:rsid w:val="00BB46D1"/>
    <w:rsid w:val="00BB627E"/>
    <w:rsid w:val="00BD0932"/>
    <w:rsid w:val="00BD0A63"/>
    <w:rsid w:val="00BD2475"/>
    <w:rsid w:val="00BE08C2"/>
    <w:rsid w:val="00BE791A"/>
    <w:rsid w:val="00BF3FE7"/>
    <w:rsid w:val="00C123E0"/>
    <w:rsid w:val="00C36FAA"/>
    <w:rsid w:val="00C5000E"/>
    <w:rsid w:val="00C566BD"/>
    <w:rsid w:val="00C62580"/>
    <w:rsid w:val="00C803E5"/>
    <w:rsid w:val="00C93CBC"/>
    <w:rsid w:val="00CC279B"/>
    <w:rsid w:val="00CE6BB9"/>
    <w:rsid w:val="00D04674"/>
    <w:rsid w:val="00D1319C"/>
    <w:rsid w:val="00D137C0"/>
    <w:rsid w:val="00D87269"/>
    <w:rsid w:val="00DA0425"/>
    <w:rsid w:val="00DB399C"/>
    <w:rsid w:val="00DC4199"/>
    <w:rsid w:val="00DC6BC6"/>
    <w:rsid w:val="00DD561E"/>
    <w:rsid w:val="00E05406"/>
    <w:rsid w:val="00E159E6"/>
    <w:rsid w:val="00E26733"/>
    <w:rsid w:val="00E43459"/>
    <w:rsid w:val="00E47863"/>
    <w:rsid w:val="00E8212F"/>
    <w:rsid w:val="00EA2D60"/>
    <w:rsid w:val="00EC7E9D"/>
    <w:rsid w:val="00ED7FFA"/>
    <w:rsid w:val="00EF3F28"/>
    <w:rsid w:val="00F152AC"/>
    <w:rsid w:val="00F25988"/>
    <w:rsid w:val="00F363DF"/>
    <w:rsid w:val="00F740D0"/>
    <w:rsid w:val="00FA70BF"/>
    <w:rsid w:val="00FE1527"/>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3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BodyText"/>
    <w:qFormat/>
    <w:pPr>
      <w:numPr>
        <w:numId w:val="14"/>
      </w:numPr>
      <w:tabs>
        <w:tab w:val="clear" w:pos="0"/>
      </w:tabs>
      <w:outlineLvl w:val="0"/>
    </w:pPr>
    <w:rPr>
      <w:rFonts w:cs="Arial"/>
      <w:bCs/>
    </w:rPr>
  </w:style>
  <w:style w:type="paragraph" w:styleId="Heading2">
    <w:name w:val="heading 2"/>
    <w:basedOn w:val="BodyText"/>
    <w:link w:val="Heading2Char"/>
    <w:qFormat/>
    <w:pPr>
      <w:numPr>
        <w:ilvl w:val="1"/>
        <w:numId w:val="14"/>
      </w:numPr>
      <w:tabs>
        <w:tab w:val="left" w:pos="1440"/>
      </w:tabs>
      <w:outlineLvl w:val="1"/>
    </w:pPr>
    <w:rPr>
      <w:rFonts w:cs="Arial"/>
      <w:bCs/>
      <w:iCs/>
    </w:rPr>
  </w:style>
  <w:style w:type="paragraph" w:styleId="Heading3">
    <w:name w:val="heading 3"/>
    <w:basedOn w:val="BodyText"/>
    <w:qFormat/>
    <w:pPr>
      <w:numPr>
        <w:ilvl w:val="2"/>
        <w:numId w:val="14"/>
      </w:numPr>
      <w:tabs>
        <w:tab w:val="left" w:pos="2160"/>
      </w:tabs>
      <w:outlineLvl w:val="2"/>
    </w:pPr>
    <w:rPr>
      <w:rFonts w:cs="Arial"/>
      <w:bCs/>
    </w:rPr>
  </w:style>
  <w:style w:type="paragraph" w:styleId="Heading4">
    <w:name w:val="heading 4"/>
    <w:basedOn w:val="BodyText"/>
    <w:qFormat/>
    <w:pPr>
      <w:numPr>
        <w:ilvl w:val="3"/>
        <w:numId w:val="14"/>
      </w:numPr>
      <w:tabs>
        <w:tab w:val="left" w:pos="2880"/>
      </w:tabs>
      <w:outlineLvl w:val="3"/>
    </w:pPr>
    <w:rPr>
      <w:bCs/>
    </w:rPr>
  </w:style>
  <w:style w:type="paragraph" w:styleId="Heading5">
    <w:name w:val="heading 5"/>
    <w:basedOn w:val="BodyText"/>
    <w:qFormat/>
    <w:pPr>
      <w:numPr>
        <w:ilvl w:val="4"/>
        <w:numId w:val="14"/>
      </w:numPr>
      <w:tabs>
        <w:tab w:val="left" w:pos="3600"/>
      </w:tabs>
      <w:outlineLvl w:val="4"/>
    </w:pPr>
    <w:rPr>
      <w:bCs/>
      <w:iCs/>
    </w:rPr>
  </w:style>
  <w:style w:type="paragraph" w:styleId="Heading6">
    <w:name w:val="heading 6"/>
    <w:basedOn w:val="BodyText"/>
    <w:qFormat/>
    <w:pPr>
      <w:numPr>
        <w:ilvl w:val="5"/>
        <w:numId w:val="14"/>
      </w:numPr>
      <w:tabs>
        <w:tab w:val="left" w:pos="4320"/>
      </w:tabs>
      <w:outlineLvl w:val="5"/>
    </w:pPr>
    <w:rPr>
      <w:bCs/>
    </w:rPr>
  </w:style>
  <w:style w:type="paragraph" w:styleId="Heading7">
    <w:name w:val="heading 7"/>
    <w:basedOn w:val="BodyText"/>
    <w:qFormat/>
    <w:pPr>
      <w:numPr>
        <w:ilvl w:val="6"/>
        <w:numId w:val="14"/>
      </w:numPr>
      <w:tabs>
        <w:tab w:val="left" w:pos="5040"/>
      </w:tabs>
      <w:outlineLvl w:val="6"/>
    </w:pPr>
  </w:style>
  <w:style w:type="paragraph" w:styleId="Heading8">
    <w:name w:val="heading 8"/>
    <w:basedOn w:val="BodyText"/>
    <w:qFormat/>
    <w:pPr>
      <w:numPr>
        <w:ilvl w:val="7"/>
        <w:numId w:val="14"/>
      </w:numPr>
      <w:tabs>
        <w:tab w:val="left" w:pos="5760"/>
      </w:tabs>
      <w:outlineLvl w:val="7"/>
    </w:pPr>
    <w:rPr>
      <w:iCs/>
    </w:rPr>
  </w:style>
  <w:style w:type="paragraph" w:styleId="Heading9">
    <w:name w:val="heading 9"/>
    <w:basedOn w:val="Normal"/>
    <w:next w:val="BodyText"/>
    <w:qFormat/>
    <w:pPr>
      <w:keepNext/>
      <w:keepLines/>
      <w:numPr>
        <w:ilvl w:val="8"/>
        <w:numId w:val="14"/>
      </w:numPr>
      <w:tabs>
        <w:tab w:val="clear" w:pos="0"/>
      </w:tabs>
      <w:spacing w:before="240"/>
      <w:jc w:val="center"/>
      <w:outlineLvl w:val="8"/>
    </w:pPr>
    <w:rPr>
      <w:rFonts w:cs="Arial"/>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before="360" w:line="360" w:lineRule="auto"/>
      <w:jc w:val="both"/>
    </w:pPr>
  </w:style>
  <w:style w:type="paragraph" w:styleId="TOC1">
    <w:name w:val="toc 1"/>
    <w:basedOn w:val="Normal"/>
    <w:next w:val="Normal"/>
    <w:autoRedefine/>
    <w:semiHidden/>
    <w:pPr>
      <w:keepNext/>
      <w:keepLines/>
      <w:tabs>
        <w:tab w:val="left" w:pos="720"/>
        <w:tab w:val="right" w:leader="dot" w:pos="9360"/>
      </w:tabs>
      <w:spacing w:before="240" w:after="240"/>
      <w:ind w:left="720" w:right="1008" w:hanging="720"/>
    </w:pPr>
    <w:rPr>
      <w:b/>
      <w:caps/>
    </w:rPr>
  </w:style>
  <w:style w:type="paragraph" w:customStyle="1" w:styleId="BodySpecial">
    <w:name w:val="Body Special"/>
    <w:basedOn w:val="Normal"/>
    <w:next w:val="BodyText"/>
    <w:pPr>
      <w:keepLines/>
      <w:spacing w:before="240"/>
    </w:pPr>
  </w:style>
  <w:style w:type="paragraph" w:customStyle="1" w:styleId="BulletBody">
    <w:name w:val="Bullet Body"/>
    <w:basedOn w:val="BodyText"/>
    <w:pPr>
      <w:numPr>
        <w:numId w:val="11"/>
      </w:numPr>
    </w:pPr>
  </w:style>
  <w:style w:type="paragraph" w:customStyle="1" w:styleId="BulletBodySpecial">
    <w:name w:val="Bullet Body Special"/>
    <w:basedOn w:val="Normal"/>
    <w:pPr>
      <w:numPr>
        <w:numId w:val="12"/>
      </w:numPr>
      <w:spacing w:before="240"/>
      <w:jc w:val="both"/>
    </w:pPr>
  </w:style>
  <w:style w:type="paragraph" w:customStyle="1" w:styleId="Citation">
    <w:name w:val="Citation"/>
    <w:basedOn w:val="Normal"/>
    <w:pPr>
      <w:keepLines/>
      <w:spacing w:before="120"/>
      <w:ind w:left="720" w:right="720"/>
    </w:pPr>
  </w:style>
  <w:style w:type="character" w:customStyle="1" w:styleId="CommentHidden">
    <w:name w:val="Comment (Hidden)"/>
    <w:rPr>
      <w:rFonts w:ascii="Arial" w:hAnsi="Arial"/>
      <w:caps/>
      <w:vanish/>
      <w:color w:val="FF0000"/>
      <w:sz w:val="18"/>
      <w:szCs w:val="18"/>
    </w:rPr>
  </w:style>
  <w:style w:type="paragraph" w:styleId="Footer">
    <w:name w:val="footer"/>
    <w:basedOn w:val="Normal"/>
    <w:link w:val="FooterChar"/>
    <w:semiHidden/>
    <w:pPr>
      <w:tabs>
        <w:tab w:val="center" w:pos="4680"/>
        <w:tab w:val="right" w:pos="9360"/>
      </w:tabs>
    </w:pPr>
    <w:rPr>
      <w:sz w:val="14"/>
      <w:szCs w:val="14"/>
    </w:rPr>
  </w:style>
  <w:style w:type="paragraph" w:styleId="Header">
    <w:name w:val="header"/>
    <w:basedOn w:val="Normal"/>
    <w:link w:val="HeaderChar"/>
    <w:uiPriority w:val="99"/>
    <w:pPr>
      <w:tabs>
        <w:tab w:val="center" w:pos="4680"/>
        <w:tab w:val="right" w:pos="9360"/>
      </w:tabs>
    </w:pPr>
  </w:style>
  <w:style w:type="paragraph" w:customStyle="1" w:styleId="QuoteBlock1">
    <w:name w:val="Quote Block 1"/>
    <w:basedOn w:val="Normal"/>
    <w:pPr>
      <w:spacing w:before="240"/>
      <w:ind w:left="720" w:right="720"/>
      <w:jc w:val="both"/>
    </w:pPr>
  </w:style>
  <w:style w:type="paragraph" w:customStyle="1" w:styleId="QuoteBlock2">
    <w:name w:val="Quote Block 2"/>
    <w:basedOn w:val="QuoteBlock1"/>
    <w:pPr>
      <w:ind w:left="1440" w:right="1440"/>
    </w:pPr>
  </w:style>
  <w:style w:type="paragraph" w:customStyle="1" w:styleId="QuoteBlock3">
    <w:name w:val="Quote Block 3"/>
    <w:basedOn w:val="QuoteBlock1"/>
    <w:pPr>
      <w:ind w:left="2160" w:right="2160"/>
    </w:pPr>
  </w:style>
  <w:style w:type="paragraph" w:customStyle="1" w:styleId="QuoteBlock4">
    <w:name w:val="Quote Block 4"/>
    <w:basedOn w:val="QuoteBlock1"/>
    <w:pPr>
      <w:ind w:left="2880" w:right="2880"/>
    </w:pPr>
  </w:style>
  <w:style w:type="paragraph" w:customStyle="1" w:styleId="QuoteHanging1">
    <w:name w:val="Quote Hanging 1"/>
    <w:basedOn w:val="Normal"/>
    <w:next w:val="QuoteBlock1"/>
    <w:pPr>
      <w:spacing w:before="240"/>
      <w:ind w:left="720" w:right="720" w:hanging="101"/>
      <w:jc w:val="both"/>
    </w:pPr>
  </w:style>
  <w:style w:type="paragraph" w:customStyle="1" w:styleId="QuoteHanging2">
    <w:name w:val="Quote Hanging 2"/>
    <w:basedOn w:val="QuoteHanging1"/>
    <w:next w:val="QuoteBlock2"/>
    <w:pPr>
      <w:ind w:left="1440" w:right="1440"/>
    </w:pPr>
  </w:style>
  <w:style w:type="paragraph" w:customStyle="1" w:styleId="QuoteHanging3">
    <w:name w:val="Quote Hanging 3"/>
    <w:basedOn w:val="QuoteHanging1"/>
    <w:next w:val="QuoteBlock3"/>
    <w:pPr>
      <w:ind w:left="2160" w:right="2160"/>
    </w:pPr>
  </w:style>
  <w:style w:type="paragraph" w:customStyle="1" w:styleId="QuotewithinQuote1">
    <w:name w:val="Quote within Quote 1"/>
    <w:basedOn w:val="QuoteHanging1"/>
    <w:next w:val="QuoteBlock2"/>
    <w:pPr>
      <w:ind w:left="1440" w:right="1440" w:hanging="72"/>
    </w:pPr>
  </w:style>
  <w:style w:type="paragraph" w:customStyle="1" w:styleId="QuotewithinQuote2">
    <w:name w:val="Quote within Quote 2"/>
    <w:basedOn w:val="QuotewithinQuote1"/>
    <w:next w:val="QuoteBlock3"/>
    <w:pPr>
      <w:ind w:left="2160" w:right="2160"/>
    </w:pPr>
  </w:style>
  <w:style w:type="paragraph" w:customStyle="1" w:styleId="QuotewithinQuote3">
    <w:name w:val="Quote within Quote 3"/>
    <w:basedOn w:val="QuotewithinQuote1"/>
    <w:next w:val="QuoteBlock4"/>
    <w:pPr>
      <w:ind w:left="2880" w:right="2880"/>
    </w:pPr>
  </w:style>
  <w:style w:type="paragraph" w:customStyle="1" w:styleId="Signatory">
    <w:name w:val="Signatory"/>
    <w:basedOn w:val="Normal"/>
    <w:next w:val="BodyText"/>
    <w:pPr>
      <w:keepNext/>
      <w:keepLines/>
      <w:tabs>
        <w:tab w:val="right" w:pos="4320"/>
        <w:tab w:val="left" w:pos="5040"/>
        <w:tab w:val="right" w:pos="9360"/>
      </w:tabs>
      <w:spacing w:before="240"/>
    </w:pPr>
  </w:style>
  <w:style w:type="paragraph" w:styleId="Salutation">
    <w:name w:val="Salutation"/>
    <w:basedOn w:val="Normal"/>
    <w:next w:val="Normal"/>
    <w:semiHidden/>
    <w:pPr>
      <w:spacing w:before="240"/>
    </w:pPr>
  </w:style>
  <w:style w:type="paragraph" w:customStyle="1" w:styleId="InsideAddress">
    <w:name w:val="Inside Address"/>
    <w:basedOn w:val="Normal"/>
    <w:next w:val="Attention"/>
    <w:semiHidden/>
    <w:pPr>
      <w:spacing w:before="240"/>
    </w:pPr>
  </w:style>
  <w:style w:type="paragraph" w:customStyle="1" w:styleId="Attention">
    <w:name w:val="Attention"/>
    <w:basedOn w:val="Normal"/>
    <w:semiHidden/>
    <w:pPr>
      <w:spacing w:before="240"/>
      <w:ind w:left="1440" w:hanging="1440"/>
    </w:pPr>
    <w:rPr>
      <w:b/>
    </w:rPr>
  </w:style>
  <w:style w:type="paragraph" w:styleId="Title">
    <w:name w:val="Title"/>
    <w:basedOn w:val="Normal"/>
    <w:next w:val="BodyText"/>
    <w:qFormat/>
    <w:pPr>
      <w:keepNext/>
      <w:keepLines/>
      <w:spacing w:before="240" w:after="60"/>
      <w:jc w:val="center"/>
    </w:pPr>
    <w:rPr>
      <w:rFonts w:cs="Arial"/>
      <w:b/>
      <w:bCs/>
      <w:caps/>
      <w:kern w:val="28"/>
    </w:rPr>
  </w:style>
  <w:style w:type="paragraph" w:styleId="Subtitle">
    <w:name w:val="Subtitle"/>
    <w:basedOn w:val="Normal"/>
    <w:qFormat/>
    <w:pPr>
      <w:keepNext/>
      <w:keepLines/>
      <w:spacing w:before="240" w:after="60"/>
      <w:jc w:val="center"/>
    </w:pPr>
    <w:rPr>
      <w:rFonts w:cs="Arial"/>
      <w:b/>
    </w:rPr>
  </w:style>
  <w:style w:type="paragraph" w:customStyle="1" w:styleId="Recital1">
    <w:name w:val="Recital 1"/>
    <w:basedOn w:val="BodyText"/>
    <w:pPr>
      <w:numPr>
        <w:numId w:val="13"/>
      </w:numPr>
      <w:tabs>
        <w:tab w:val="clear" w:pos="0"/>
      </w:tabs>
    </w:pPr>
  </w:style>
  <w:style w:type="paragraph" w:customStyle="1" w:styleId="Recital2">
    <w:name w:val="Recital 2"/>
    <w:basedOn w:val="BodyText"/>
    <w:pPr>
      <w:numPr>
        <w:ilvl w:val="1"/>
        <w:numId w:val="13"/>
      </w:numPr>
    </w:pPr>
  </w:style>
  <w:style w:type="paragraph" w:customStyle="1" w:styleId="Recital3">
    <w:name w:val="Recital 3"/>
    <w:basedOn w:val="BodyText"/>
    <w:pPr>
      <w:numPr>
        <w:ilvl w:val="2"/>
        <w:numId w:val="13"/>
      </w:numPr>
    </w:p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customStyle="1" w:styleId="HeadingTitle1">
    <w:name w:val="Heading Title 1"/>
    <w:basedOn w:val="Normal"/>
    <w:next w:val="BodyText"/>
    <w:pPr>
      <w:keepNext/>
      <w:keepLines/>
      <w:spacing w:before="360"/>
      <w:jc w:val="center"/>
    </w:pPr>
    <w:rPr>
      <w:b/>
      <w:caps/>
    </w:rPr>
  </w:style>
  <w:style w:type="paragraph" w:styleId="TOC2">
    <w:name w:val="toc 2"/>
    <w:basedOn w:val="Normal"/>
    <w:next w:val="Normal"/>
    <w:autoRedefine/>
    <w:semiHidden/>
    <w:pPr>
      <w:keepLines/>
      <w:tabs>
        <w:tab w:val="left" w:pos="720"/>
        <w:tab w:val="right" w:leader="dot" w:pos="9360"/>
      </w:tabs>
      <w:ind w:left="720" w:right="1008" w:hanging="720"/>
    </w:pPr>
  </w:style>
  <w:style w:type="paragraph" w:styleId="TOC3">
    <w:name w:val="toc 3"/>
    <w:basedOn w:val="Normal"/>
    <w:next w:val="Normal"/>
    <w:autoRedefine/>
    <w:semiHidden/>
    <w:pPr>
      <w:keepLines/>
      <w:tabs>
        <w:tab w:val="left" w:pos="1440"/>
        <w:tab w:val="right" w:leader="dot" w:pos="9360"/>
      </w:tabs>
      <w:ind w:left="1440" w:right="1008" w:hanging="720"/>
    </w:pPr>
  </w:style>
  <w:style w:type="paragraph" w:styleId="TOC4">
    <w:name w:val="toc 4"/>
    <w:basedOn w:val="Normal"/>
    <w:next w:val="Normal"/>
    <w:autoRedefine/>
    <w:semiHidden/>
    <w:pPr>
      <w:keepLines/>
      <w:tabs>
        <w:tab w:val="left" w:pos="2160"/>
        <w:tab w:val="right" w:leader="dot" w:pos="9360"/>
      </w:tabs>
      <w:ind w:left="2160" w:right="1008" w:hanging="720"/>
    </w:pPr>
  </w:style>
  <w:style w:type="paragraph" w:styleId="TOC5">
    <w:name w:val="toc 5"/>
    <w:basedOn w:val="Normal"/>
    <w:next w:val="Normal"/>
    <w:autoRedefine/>
    <w:semiHidden/>
    <w:pPr>
      <w:keepLines/>
      <w:tabs>
        <w:tab w:val="left" w:pos="2880"/>
        <w:tab w:val="right" w:leader="dot" w:pos="9360"/>
      </w:tabs>
      <w:ind w:left="2880" w:right="1008" w:hanging="720"/>
    </w:pPr>
  </w:style>
  <w:style w:type="paragraph" w:styleId="TOC6">
    <w:name w:val="toc 6"/>
    <w:basedOn w:val="Normal"/>
    <w:next w:val="Normal"/>
    <w:autoRedefine/>
    <w:semiHidden/>
    <w:pPr>
      <w:keepLines/>
      <w:tabs>
        <w:tab w:val="left" w:pos="3600"/>
        <w:tab w:val="right" w:leader="dot" w:pos="9360"/>
      </w:tabs>
      <w:ind w:left="3600" w:right="1008" w:hanging="720"/>
    </w:pPr>
  </w:style>
  <w:style w:type="paragraph" w:styleId="TOC7">
    <w:name w:val="toc 7"/>
    <w:basedOn w:val="Normal"/>
    <w:next w:val="Normal"/>
    <w:autoRedefine/>
    <w:semiHidden/>
    <w:pPr>
      <w:keepLines/>
      <w:tabs>
        <w:tab w:val="left" w:pos="4320"/>
        <w:tab w:val="right" w:leader="dot" w:pos="9360"/>
      </w:tabs>
      <w:ind w:left="4320" w:right="1008" w:hanging="720"/>
    </w:pPr>
  </w:style>
  <w:style w:type="paragraph" w:styleId="TOC8">
    <w:name w:val="toc 8"/>
    <w:basedOn w:val="Normal"/>
    <w:next w:val="Normal"/>
    <w:autoRedefine/>
    <w:semiHidden/>
    <w:pPr>
      <w:keepLines/>
      <w:tabs>
        <w:tab w:val="left" w:pos="5040"/>
        <w:tab w:val="right" w:leader="dot" w:pos="9360"/>
      </w:tabs>
      <w:ind w:left="5040" w:right="1008" w:hanging="720"/>
    </w:pPr>
  </w:style>
  <w:style w:type="paragraph" w:styleId="TOC9">
    <w:name w:val="toc 9"/>
    <w:basedOn w:val="Normal"/>
    <w:next w:val="Normal"/>
    <w:autoRedefine/>
    <w:semiHidden/>
    <w:pPr>
      <w:ind w:left="1920"/>
    </w:pPr>
  </w:style>
  <w:style w:type="paragraph" w:customStyle="1" w:styleId="HeadingTitle2">
    <w:name w:val="Heading Title 2"/>
    <w:basedOn w:val="Normal"/>
    <w:next w:val="BodyText"/>
    <w:pPr>
      <w:keepNext/>
      <w:keepLines/>
      <w:spacing w:before="240"/>
    </w:pPr>
    <w:rPr>
      <w:b/>
    </w:rPr>
  </w:style>
  <w:style w:type="paragraph" w:customStyle="1" w:styleId="HeadingTitle3">
    <w:name w:val="Heading Title 3"/>
    <w:basedOn w:val="Normal"/>
    <w:next w:val="BodyText"/>
    <w:pPr>
      <w:keepNext/>
      <w:keepLines/>
      <w:spacing w:before="240"/>
    </w:pPr>
    <w:rPr>
      <w:i/>
    </w:rPr>
  </w:style>
  <w:style w:type="paragraph" w:customStyle="1" w:styleId="HeadingTitle4">
    <w:name w:val="Heading Title 4"/>
    <w:basedOn w:val="Normal"/>
    <w:next w:val="BodyText"/>
    <w:pPr>
      <w:keepNext/>
      <w:keepLines/>
      <w:spacing w:before="240"/>
    </w:pPr>
    <w:rPr>
      <w:u w:val="single"/>
    </w:rPr>
  </w:style>
  <w:style w:type="paragraph" w:customStyle="1" w:styleId="HeadingTitle5">
    <w:name w:val="Heading Title 5"/>
    <w:basedOn w:val="Normal"/>
    <w:next w:val="BodyText"/>
    <w:pPr>
      <w:keepNext/>
      <w:keepLines/>
      <w:spacing w:before="240"/>
    </w:pPr>
    <w:rPr>
      <w:b/>
      <w:i/>
    </w:rPr>
  </w:style>
  <w:style w:type="character" w:styleId="Emphasis">
    <w:name w:val="Emphasis"/>
    <w:qFormat/>
    <w:rPr>
      <w:b/>
      <w:i/>
      <w:iCs/>
    </w:rPr>
  </w:style>
  <w:style w:type="character" w:styleId="PageNumber">
    <w:name w:val="page number"/>
    <w:basedOn w:val="DefaultParagraphFont"/>
    <w:semiHidden/>
  </w:style>
  <w:style w:type="paragraph" w:customStyle="1" w:styleId="CommentRegular">
    <w:name w:val="Comment (Regular)"/>
    <w:basedOn w:val="Normal"/>
    <w:next w:val="BodyText"/>
    <w:pPr>
      <w:keepLines/>
      <w:spacing w:before="240"/>
      <w:jc w:val="both"/>
    </w:pPr>
    <w:rPr>
      <w:i/>
      <w:color w:val="0000FF"/>
    </w:rPr>
  </w:style>
  <w:style w:type="paragraph" w:customStyle="1" w:styleId="HeadingTitle6">
    <w:name w:val="Heading Title 6"/>
    <w:basedOn w:val="Normal"/>
    <w:next w:val="BodyText"/>
    <w:pPr>
      <w:keepNext/>
      <w:keepLines/>
      <w:spacing w:before="240"/>
      <w:ind w:left="720"/>
    </w:pPr>
    <w:rPr>
      <w:b/>
    </w:rPr>
  </w:style>
  <w:style w:type="paragraph" w:customStyle="1" w:styleId="HeadingTitle7">
    <w:name w:val="Heading Title 7"/>
    <w:basedOn w:val="Normal"/>
    <w:next w:val="BodyText"/>
    <w:pPr>
      <w:keepNext/>
      <w:keepLines/>
      <w:spacing w:before="240"/>
      <w:ind w:left="720"/>
    </w:pPr>
    <w:rPr>
      <w:i/>
    </w:rPr>
  </w:style>
  <w:style w:type="paragraph" w:customStyle="1" w:styleId="MainHeading">
    <w:name w:val="MainHeading"/>
    <w:aliases w:val="MH,ORMainHeading"/>
    <w:basedOn w:val="Normal"/>
    <w:next w:val="Normal"/>
    <w:pPr>
      <w:keepNext/>
      <w:keepLines/>
      <w:spacing w:before="120" w:after="240"/>
    </w:pPr>
    <w:rPr>
      <w:b/>
      <w:bCs/>
      <w:caps/>
    </w:rPr>
  </w:style>
  <w:style w:type="paragraph" w:customStyle="1" w:styleId="Plain">
    <w:name w:val="Plain"/>
    <w:aliases w:val="P,ORPara"/>
    <w:basedOn w:val="Normal"/>
  </w:style>
  <w:style w:type="paragraph" w:customStyle="1" w:styleId="SubHeading">
    <w:name w:val="SubHeading"/>
    <w:aliases w:val="SH"/>
    <w:basedOn w:val="Normal"/>
    <w:next w:val="Normal"/>
    <w:pPr>
      <w:keepNext/>
      <w:keepLines/>
      <w:spacing w:before="120" w:after="240"/>
    </w:pPr>
    <w:rPr>
      <w:b/>
      <w:bCs/>
    </w:rPr>
  </w:style>
  <w:style w:type="paragraph" w:customStyle="1" w:styleId="Tab">
    <w:name w:val="Tab"/>
    <w:aliases w:val="T"/>
    <w:basedOn w:val="Normal"/>
    <w:pPr>
      <w:spacing w:after="240"/>
      <w:ind w:firstLine="720"/>
      <w:jc w:val="both"/>
    </w:pPr>
  </w:style>
  <w:style w:type="paragraph" w:customStyle="1" w:styleId="DoubleSpace">
    <w:name w:val="DoubleSpace"/>
    <w:basedOn w:val="Normal"/>
    <w:pPr>
      <w:numPr>
        <w:numId w:val="28"/>
      </w:numPr>
      <w:spacing w:after="240"/>
      <w:jc w:val="both"/>
    </w:pPr>
  </w:style>
  <w:style w:type="character" w:customStyle="1" w:styleId="BodyTextChar">
    <w:name w:val="Body Text Char"/>
    <w:link w:val="BodyText"/>
    <w:rPr>
      <w:sz w:val="24"/>
      <w:szCs w:val="24"/>
      <w:lang w:val="en-CA" w:eastAsia="en-US" w:bidi="ar-SA"/>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ORGenL1">
    <w:name w:val="ORGen L1"/>
    <w:aliases w:val="G1"/>
    <w:basedOn w:val="Normal"/>
    <w:pPr>
      <w:numPr>
        <w:numId w:val="30"/>
      </w:numPr>
      <w:spacing w:after="240" w:line="360" w:lineRule="auto"/>
      <w:outlineLvl w:val="0"/>
    </w:pPr>
  </w:style>
  <w:style w:type="paragraph" w:customStyle="1" w:styleId="ORGenL2">
    <w:name w:val="ORGen L2"/>
    <w:aliases w:val="G2"/>
    <w:basedOn w:val="Normal"/>
    <w:pPr>
      <w:numPr>
        <w:ilvl w:val="1"/>
        <w:numId w:val="30"/>
      </w:numPr>
      <w:spacing w:after="240" w:line="360" w:lineRule="auto"/>
      <w:outlineLvl w:val="1"/>
    </w:pPr>
  </w:style>
  <w:style w:type="paragraph" w:customStyle="1" w:styleId="ORGenL3">
    <w:name w:val="ORGen L3"/>
    <w:aliases w:val="G3"/>
    <w:basedOn w:val="Normal"/>
    <w:pPr>
      <w:numPr>
        <w:ilvl w:val="2"/>
        <w:numId w:val="30"/>
      </w:numPr>
      <w:spacing w:after="240"/>
      <w:jc w:val="both"/>
      <w:outlineLvl w:val="2"/>
    </w:pPr>
  </w:style>
  <w:style w:type="paragraph" w:customStyle="1" w:styleId="ORGenL4">
    <w:name w:val="ORGen L4"/>
    <w:aliases w:val="G4"/>
    <w:basedOn w:val="Normal"/>
    <w:pPr>
      <w:numPr>
        <w:ilvl w:val="3"/>
        <w:numId w:val="30"/>
      </w:numPr>
      <w:spacing w:after="240"/>
      <w:jc w:val="both"/>
    </w:pPr>
  </w:style>
  <w:style w:type="paragraph" w:customStyle="1" w:styleId="ORGenL5">
    <w:name w:val="ORGen L5"/>
    <w:aliases w:val="G5"/>
    <w:basedOn w:val="Normal"/>
    <w:pPr>
      <w:numPr>
        <w:ilvl w:val="4"/>
        <w:numId w:val="30"/>
      </w:numPr>
      <w:spacing w:after="240"/>
      <w:jc w:val="both"/>
    </w:pPr>
  </w:style>
  <w:style w:type="paragraph" w:customStyle="1" w:styleId="ORGenL6">
    <w:name w:val="ORGen L6"/>
    <w:aliases w:val="G6"/>
    <w:basedOn w:val="Normal"/>
    <w:pPr>
      <w:numPr>
        <w:ilvl w:val="5"/>
        <w:numId w:val="30"/>
      </w:numPr>
      <w:spacing w:after="240"/>
      <w:jc w:val="both"/>
    </w:pPr>
  </w:style>
  <w:style w:type="paragraph" w:customStyle="1" w:styleId="ORGenL7">
    <w:name w:val="ORGen L7"/>
    <w:aliases w:val="G7"/>
    <w:basedOn w:val="Normal"/>
    <w:pPr>
      <w:numPr>
        <w:ilvl w:val="6"/>
        <w:numId w:val="30"/>
      </w:numPr>
      <w:spacing w:after="240"/>
      <w:jc w:val="both"/>
    </w:pPr>
  </w:style>
  <w:style w:type="paragraph" w:customStyle="1" w:styleId="ORGenL8">
    <w:name w:val="ORGen L8"/>
    <w:aliases w:val="G8"/>
    <w:basedOn w:val="Normal"/>
    <w:pPr>
      <w:numPr>
        <w:ilvl w:val="7"/>
        <w:numId w:val="30"/>
      </w:numPr>
      <w:spacing w:after="240"/>
      <w:jc w:val="both"/>
    </w:pPr>
  </w:style>
  <w:style w:type="paragraph" w:customStyle="1" w:styleId="ORGenL9">
    <w:name w:val="ORGen L9"/>
    <w:aliases w:val="G9"/>
    <w:basedOn w:val="Normal"/>
    <w:pPr>
      <w:numPr>
        <w:ilvl w:val="8"/>
        <w:numId w:val="30"/>
      </w:numPr>
      <w:spacing w:after="240"/>
      <w:jc w:val="both"/>
    </w:pPr>
  </w:style>
  <w:style w:type="character" w:customStyle="1" w:styleId="Prompt">
    <w:name w:val="Prompt"/>
    <w:rPr>
      <w:color w:val="0000FF"/>
    </w:rPr>
  </w:style>
  <w:style w:type="paragraph" w:customStyle="1" w:styleId="bodytextindent0">
    <w:name w:val="#body text=indent 0"/>
    <w:basedOn w:val="Normal"/>
    <w:pPr>
      <w:spacing w:before="240" w:line="360" w:lineRule="auto"/>
      <w:jc w:val="both"/>
    </w:pPr>
    <w:rPr>
      <w:szCs w:val="20"/>
    </w:rPr>
  </w:style>
  <w:style w:type="paragraph" w:customStyle="1" w:styleId="signtableleft">
    <w:name w:val="$sign table=left"/>
    <w:basedOn w:val="Normal"/>
    <w:pPr>
      <w:keepNext/>
      <w:ind w:right="144"/>
    </w:pPr>
  </w:style>
  <w:style w:type="character" w:customStyle="1" w:styleId="HeaderChar">
    <w:name w:val="Header Char"/>
    <w:basedOn w:val="DefaultParagraphFont"/>
    <w:link w:val="Header"/>
    <w:uiPriority w:val="99"/>
    <w:rsid w:val="00023E93"/>
    <w:rPr>
      <w:sz w:val="24"/>
      <w:szCs w:val="24"/>
      <w:lang w:eastAsia="en-US"/>
    </w:rPr>
  </w:style>
  <w:style w:type="paragraph" w:styleId="BalloonText">
    <w:name w:val="Balloon Text"/>
    <w:basedOn w:val="Normal"/>
    <w:link w:val="BalloonTextChar"/>
    <w:rsid w:val="003E530F"/>
    <w:rPr>
      <w:rFonts w:ascii="Tahoma" w:hAnsi="Tahoma" w:cs="Tahoma"/>
      <w:sz w:val="16"/>
      <w:szCs w:val="16"/>
    </w:rPr>
  </w:style>
  <w:style w:type="character" w:customStyle="1" w:styleId="BalloonTextChar">
    <w:name w:val="Balloon Text Char"/>
    <w:basedOn w:val="DefaultParagraphFont"/>
    <w:link w:val="BalloonText"/>
    <w:rsid w:val="003E530F"/>
    <w:rPr>
      <w:rFonts w:ascii="Tahoma" w:hAnsi="Tahoma" w:cs="Tahoma"/>
      <w:sz w:val="16"/>
      <w:szCs w:val="16"/>
      <w:lang w:eastAsia="en-US"/>
    </w:rPr>
  </w:style>
  <w:style w:type="character" w:customStyle="1" w:styleId="FooterChar">
    <w:name w:val="Footer Char"/>
    <w:basedOn w:val="DefaultParagraphFont"/>
    <w:link w:val="Footer"/>
    <w:rsid w:val="002A62D4"/>
    <w:rPr>
      <w:sz w:val="14"/>
      <w:szCs w:val="14"/>
      <w:lang w:eastAsia="en-US"/>
    </w:rPr>
  </w:style>
  <w:style w:type="paragraph" w:customStyle="1" w:styleId="MacPacTrailer">
    <w:name w:val="MacPac Trailer"/>
    <w:rsid w:val="00BB46D1"/>
    <w:pPr>
      <w:widowControl w:val="0"/>
      <w:spacing w:line="200" w:lineRule="exact"/>
    </w:pPr>
    <w:rPr>
      <w:sz w:val="16"/>
      <w:szCs w:val="22"/>
      <w:lang w:val="en-US" w:eastAsia="en-US"/>
    </w:rPr>
  </w:style>
  <w:style w:type="character" w:styleId="PlaceholderText">
    <w:name w:val="Placeholder Text"/>
    <w:basedOn w:val="DefaultParagraphFont"/>
    <w:uiPriority w:val="99"/>
    <w:semiHidden/>
    <w:rsid w:val="002A62D4"/>
    <w:rPr>
      <w:color w:val="808080"/>
    </w:rPr>
  </w:style>
  <w:style w:type="table" w:styleId="TableGrid">
    <w:name w:val="Table Grid"/>
    <w:basedOn w:val="TableNormal"/>
    <w:rsid w:val="00A26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04203"/>
    <w:rPr>
      <w:rFonts w:cs="Arial"/>
      <w:bCs/>
      <w:iCs/>
      <w:sz w:val="24"/>
      <w:szCs w:val="24"/>
      <w:lang w:eastAsia="en-US"/>
    </w:rPr>
  </w:style>
  <w:style w:type="character" w:styleId="Hyperlink">
    <w:name w:val="Hyperlink"/>
    <w:basedOn w:val="DefaultParagraphFont"/>
    <w:unhideWhenUsed/>
    <w:rsid w:val="00E05406"/>
    <w:rPr>
      <w:color w:val="0000FF" w:themeColor="hyperlink"/>
      <w:u w:val="single"/>
    </w:rPr>
  </w:style>
  <w:style w:type="paragraph" w:customStyle="1" w:styleId="NoticeRespL1">
    <w:name w:val="NoticeResp_L1"/>
    <w:basedOn w:val="Normal"/>
    <w:next w:val="NoticeRespL3"/>
    <w:rsid w:val="003F718E"/>
    <w:pPr>
      <w:keepNext/>
      <w:numPr>
        <w:numId w:val="32"/>
      </w:numPr>
      <w:spacing w:after="240"/>
      <w:jc w:val="both"/>
      <w:outlineLvl w:val="0"/>
    </w:pPr>
    <w:rPr>
      <w:b/>
      <w:caps/>
      <w:szCs w:val="20"/>
      <w:lang w:val="en-US"/>
    </w:rPr>
  </w:style>
  <w:style w:type="paragraph" w:customStyle="1" w:styleId="NoticeRespL2">
    <w:name w:val="NoticeResp_L2"/>
    <w:basedOn w:val="NoticeRespL1"/>
    <w:rsid w:val="003F718E"/>
    <w:pPr>
      <w:numPr>
        <w:ilvl w:val="1"/>
      </w:numPr>
      <w:jc w:val="center"/>
      <w:outlineLvl w:val="1"/>
    </w:pPr>
    <w:rPr>
      <w:caps w:val="0"/>
    </w:rPr>
  </w:style>
  <w:style w:type="paragraph" w:customStyle="1" w:styleId="NoticeRespL3">
    <w:name w:val="NoticeResp_L3"/>
    <w:basedOn w:val="NoticeRespL2"/>
    <w:link w:val="NoticeRespL3Char"/>
    <w:rsid w:val="003F718E"/>
    <w:pPr>
      <w:keepNext w:val="0"/>
      <w:numPr>
        <w:ilvl w:val="2"/>
      </w:numPr>
      <w:spacing w:line="360" w:lineRule="auto"/>
      <w:jc w:val="both"/>
      <w:outlineLvl w:val="2"/>
    </w:pPr>
    <w:rPr>
      <w:b w:val="0"/>
    </w:rPr>
  </w:style>
  <w:style w:type="character" w:customStyle="1" w:styleId="NoticeRespL3Char">
    <w:name w:val="NoticeResp_L3 Char"/>
    <w:basedOn w:val="DefaultParagraphFont"/>
    <w:link w:val="NoticeRespL3"/>
    <w:rsid w:val="003F718E"/>
    <w:rPr>
      <w:sz w:val="24"/>
      <w:lang w:val="en-US" w:eastAsia="en-US"/>
    </w:rPr>
  </w:style>
  <w:style w:type="paragraph" w:customStyle="1" w:styleId="NoticeRespL4">
    <w:name w:val="NoticeResp_L4"/>
    <w:basedOn w:val="NoticeRespL3"/>
    <w:link w:val="NoticeRespL4Char"/>
    <w:rsid w:val="003F718E"/>
    <w:pPr>
      <w:numPr>
        <w:ilvl w:val="3"/>
      </w:numPr>
      <w:outlineLvl w:val="3"/>
    </w:pPr>
  </w:style>
  <w:style w:type="character" w:customStyle="1" w:styleId="NoticeRespL4Char">
    <w:name w:val="NoticeResp_L4 Char"/>
    <w:basedOn w:val="DefaultParagraphFont"/>
    <w:link w:val="NoticeRespL4"/>
    <w:rsid w:val="003F718E"/>
    <w:rPr>
      <w:sz w:val="24"/>
      <w:lang w:val="en-US" w:eastAsia="en-US"/>
    </w:rPr>
  </w:style>
  <w:style w:type="paragraph" w:customStyle="1" w:styleId="NoticeRespL5">
    <w:name w:val="NoticeResp_L5"/>
    <w:basedOn w:val="NoticeRespL4"/>
    <w:rsid w:val="003F718E"/>
    <w:pPr>
      <w:numPr>
        <w:ilvl w:val="4"/>
      </w:numPr>
      <w:tabs>
        <w:tab w:val="clear" w:pos="2160"/>
        <w:tab w:val="num" w:pos="360"/>
      </w:tabs>
      <w:ind w:left="360" w:hanging="360"/>
      <w:outlineLvl w:val="4"/>
    </w:pPr>
  </w:style>
  <w:style w:type="paragraph" w:customStyle="1" w:styleId="NoticeRespL6">
    <w:name w:val="NoticeResp_L6"/>
    <w:basedOn w:val="NoticeRespL5"/>
    <w:rsid w:val="003F718E"/>
    <w:pPr>
      <w:numPr>
        <w:ilvl w:val="5"/>
      </w:numPr>
      <w:tabs>
        <w:tab w:val="clear" w:pos="2880"/>
        <w:tab w:val="num" w:pos="360"/>
      </w:tabs>
      <w:ind w:left="360" w:hanging="360"/>
      <w:outlineLvl w:val="5"/>
    </w:pPr>
  </w:style>
  <w:style w:type="paragraph" w:customStyle="1" w:styleId="NoticeRespL7">
    <w:name w:val="NoticeResp_L7"/>
    <w:basedOn w:val="NoticeRespL6"/>
    <w:rsid w:val="003F718E"/>
    <w:pPr>
      <w:numPr>
        <w:ilvl w:val="6"/>
      </w:numPr>
      <w:tabs>
        <w:tab w:val="clear" w:pos="3600"/>
        <w:tab w:val="num" w:pos="360"/>
      </w:tabs>
      <w:ind w:left="360" w:hanging="360"/>
      <w:outlineLvl w:val="6"/>
    </w:pPr>
  </w:style>
  <w:style w:type="paragraph" w:customStyle="1" w:styleId="NoticeRespL8">
    <w:name w:val="NoticeResp_L8"/>
    <w:basedOn w:val="NoticeRespL7"/>
    <w:rsid w:val="003F718E"/>
    <w:pPr>
      <w:numPr>
        <w:ilvl w:val="7"/>
      </w:numPr>
      <w:tabs>
        <w:tab w:val="clear" w:pos="720"/>
        <w:tab w:val="num" w:pos="360"/>
      </w:tabs>
      <w:spacing w:line="240" w:lineRule="auto"/>
      <w:ind w:left="360" w:hanging="360"/>
      <w:outlineLvl w:val="7"/>
    </w:pPr>
  </w:style>
  <w:style w:type="paragraph" w:customStyle="1" w:styleId="NoticeRespL9">
    <w:name w:val="NoticeResp_L9"/>
    <w:basedOn w:val="NoticeRespL8"/>
    <w:rsid w:val="003F718E"/>
    <w:pPr>
      <w:numPr>
        <w:ilvl w:val="8"/>
      </w:numPr>
      <w:tabs>
        <w:tab w:val="clear" w:pos="6480"/>
        <w:tab w:val="num" w:pos="360"/>
      </w:tabs>
      <w:ind w:left="360" w:hanging="360"/>
      <w:outlineLvl w:val="8"/>
    </w:pPr>
  </w:style>
  <w:style w:type="paragraph" w:styleId="ListParagraph">
    <w:name w:val="List Paragraph"/>
    <w:basedOn w:val="Normal"/>
    <w:uiPriority w:val="34"/>
    <w:qFormat/>
    <w:rsid w:val="009A1E2B"/>
    <w:pPr>
      <w:ind w:left="720"/>
    </w:pPr>
    <w:rPr>
      <w:rFonts w:ascii="Calibri" w:eastAsiaTheme="minorHAnsi" w:hAnsi="Calibri" w:cs="Calibri"/>
      <w:sz w:val="22"/>
      <w:szCs w:val="22"/>
      <w:lang w:val="en-US"/>
    </w:rPr>
  </w:style>
  <w:style w:type="paragraph" w:customStyle="1" w:styleId="LitStandardL1">
    <w:name w:val="LitStandard_L1"/>
    <w:basedOn w:val="Normal"/>
    <w:rsid w:val="002A60FA"/>
    <w:pPr>
      <w:numPr>
        <w:numId w:val="35"/>
      </w:numPr>
      <w:spacing w:after="240" w:line="360" w:lineRule="auto"/>
      <w:jc w:val="both"/>
      <w:outlineLvl w:val="0"/>
    </w:pPr>
    <w:rPr>
      <w:rFonts w:cs="Arial"/>
      <w:szCs w:val="20"/>
      <w:lang w:val="en-US"/>
    </w:rPr>
  </w:style>
  <w:style w:type="paragraph" w:customStyle="1" w:styleId="LitStandardL2">
    <w:name w:val="LitStandard_L2"/>
    <w:basedOn w:val="LitStandardL1"/>
    <w:rsid w:val="002A60FA"/>
    <w:pPr>
      <w:numPr>
        <w:ilvl w:val="1"/>
      </w:numPr>
      <w:outlineLvl w:val="1"/>
    </w:pPr>
  </w:style>
  <w:style w:type="paragraph" w:customStyle="1" w:styleId="LitStandardL3">
    <w:name w:val="LitStandard_L3"/>
    <w:basedOn w:val="LitStandardL2"/>
    <w:rsid w:val="002A60FA"/>
    <w:pPr>
      <w:numPr>
        <w:ilvl w:val="2"/>
      </w:numPr>
      <w:outlineLvl w:val="2"/>
    </w:pPr>
  </w:style>
  <w:style w:type="paragraph" w:customStyle="1" w:styleId="LitStandardL4">
    <w:name w:val="LitStandard_L4"/>
    <w:basedOn w:val="LitStandardL3"/>
    <w:rsid w:val="002A60FA"/>
    <w:pPr>
      <w:numPr>
        <w:ilvl w:val="3"/>
      </w:numPr>
      <w:outlineLvl w:val="3"/>
    </w:pPr>
  </w:style>
  <w:style w:type="paragraph" w:customStyle="1" w:styleId="LitStandardL5">
    <w:name w:val="LitStandard_L5"/>
    <w:basedOn w:val="LitStandardL4"/>
    <w:rsid w:val="002A60FA"/>
    <w:pPr>
      <w:numPr>
        <w:ilvl w:val="4"/>
      </w:numPr>
      <w:outlineLvl w:val="4"/>
    </w:pPr>
  </w:style>
  <w:style w:type="paragraph" w:customStyle="1" w:styleId="LitStandardL6">
    <w:name w:val="LitStandard_L6"/>
    <w:basedOn w:val="LitStandardL5"/>
    <w:rsid w:val="002A60FA"/>
    <w:pPr>
      <w:numPr>
        <w:ilvl w:val="5"/>
      </w:numPr>
      <w:outlineLvl w:val="5"/>
    </w:pPr>
  </w:style>
  <w:style w:type="paragraph" w:customStyle="1" w:styleId="LitStandardL7">
    <w:name w:val="LitStandard_L7"/>
    <w:basedOn w:val="LitStandardL6"/>
    <w:rsid w:val="002A60FA"/>
    <w:pPr>
      <w:numPr>
        <w:ilvl w:val="6"/>
      </w:numPr>
      <w:outlineLvl w:val="6"/>
    </w:pPr>
  </w:style>
  <w:style w:type="paragraph" w:customStyle="1" w:styleId="LitStandardL8">
    <w:name w:val="LitStandard_L8"/>
    <w:basedOn w:val="LitStandardL7"/>
    <w:rsid w:val="002A60FA"/>
    <w:pPr>
      <w:numPr>
        <w:ilvl w:val="7"/>
      </w:numPr>
      <w:outlineLvl w:val="7"/>
    </w:pPr>
  </w:style>
  <w:style w:type="paragraph" w:customStyle="1" w:styleId="LitStandardL9">
    <w:name w:val="LitStandard_L9"/>
    <w:basedOn w:val="LitStandardL8"/>
    <w:rsid w:val="002A60FA"/>
    <w:pPr>
      <w:numPr>
        <w:ilvl w:val="8"/>
      </w:numPr>
      <w:outlineLvl w:val="8"/>
    </w:pPr>
  </w:style>
  <w:style w:type="table" w:customStyle="1" w:styleId="TableGrid1">
    <w:name w:val="Table Grid1"/>
    <w:basedOn w:val="TableNormal"/>
    <w:next w:val="TableGrid"/>
    <w:uiPriority w:val="59"/>
    <w:rsid w:val="002A60FA"/>
    <w:rPr>
      <w:rFonts w:eastAsia="Calibri" w:cs="Arial"/>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0070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7041"/>
    <w:rPr>
      <w:i/>
      <w:iCs/>
      <w:color w:val="404040" w:themeColor="text1" w:themeTint="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969091">
      <w:bodyDiv w:val="1"/>
      <w:marLeft w:val="0"/>
      <w:marRight w:val="0"/>
      <w:marTop w:val="0"/>
      <w:marBottom w:val="0"/>
      <w:divBdr>
        <w:top w:val="none" w:sz="0" w:space="0" w:color="auto"/>
        <w:left w:val="none" w:sz="0" w:space="0" w:color="auto"/>
        <w:bottom w:val="none" w:sz="0" w:space="0" w:color="auto"/>
        <w:right w:val="none" w:sz="0" w:space="0" w:color="auto"/>
      </w:divBdr>
    </w:div>
    <w:div w:id="70556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5542A-5183-4B00-B47C-39449FD15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BCSC - CCAA Model Initial Order</vt:lpstr>
    </vt:vector>
  </TitlesOfParts>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BCSC - CCAA Model Initial Order</dc:title>
  <dc:creator/>
  <dc:description>current to August 1, 2015</dc:description>
  <cp:lastModifiedBy/>
  <cp:revision>1</cp:revision>
  <dcterms:created xsi:type="dcterms:W3CDTF">2022-05-09T22:56:00Z</dcterms:created>
  <dcterms:modified xsi:type="dcterms:W3CDTF">2022-05-11T22:04:00Z</dcterms:modified>
  <cp:contentStatus>current to August 1, 2015</cp:contentStatus>
</cp:coreProperties>
</file>